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7D7" w:rsidRDefault="00E617D7">
      <w:pPr>
        <w:spacing w:beforeLines="100" w:before="312" w:afterLines="100" w:after="312" w:line="360" w:lineRule="auto"/>
        <w:jc w:val="center"/>
        <w:rPr>
          <w:b/>
          <w:spacing w:val="20"/>
          <w:sz w:val="48"/>
          <w:szCs w:val="48"/>
        </w:rPr>
      </w:pPr>
    </w:p>
    <w:p w:rsidR="00E617D7" w:rsidRDefault="00E617D7">
      <w:pPr>
        <w:spacing w:beforeLines="100" w:before="312" w:afterLines="100" w:after="312" w:line="360" w:lineRule="auto"/>
        <w:jc w:val="center"/>
        <w:rPr>
          <w:b/>
          <w:spacing w:val="20"/>
          <w:sz w:val="48"/>
          <w:szCs w:val="48"/>
        </w:rPr>
      </w:pPr>
    </w:p>
    <w:p w:rsidR="00E617D7" w:rsidRDefault="002A30C3">
      <w:pPr>
        <w:spacing w:beforeLines="100" w:before="312" w:afterLines="100" w:after="312" w:line="360" w:lineRule="auto"/>
        <w:jc w:val="center"/>
        <w:rPr>
          <w:b/>
          <w:spacing w:val="20"/>
          <w:sz w:val="48"/>
          <w:szCs w:val="48"/>
        </w:rPr>
      </w:pPr>
      <w:r>
        <w:rPr>
          <w:b/>
          <w:spacing w:val="20"/>
          <w:sz w:val="48"/>
          <w:szCs w:val="48"/>
        </w:rPr>
        <w:t>云南煤业能源股份有限公司</w:t>
      </w:r>
    </w:p>
    <w:p w:rsidR="00E617D7" w:rsidRDefault="002A30C3">
      <w:pPr>
        <w:pStyle w:val="a8"/>
        <w:spacing w:beforeLines="50" w:before="156" w:line="360" w:lineRule="auto"/>
        <w:ind w:firstLine="0"/>
        <w:jc w:val="center"/>
        <w:rPr>
          <w:rFonts w:ascii="Times New Roman" w:eastAsia="楷体_GB2312" w:hAnsi="Times New Roman"/>
          <w:b/>
          <w:color w:val="000000"/>
          <w:sz w:val="30"/>
          <w:szCs w:val="30"/>
        </w:rPr>
      </w:pPr>
      <w:proofErr w:type="gramStart"/>
      <w:r>
        <w:rPr>
          <w:rStyle w:val="apple-style-span"/>
          <w:rFonts w:ascii="Times New Roman" w:hAnsi="Times New Roman"/>
          <w:b/>
          <w:color w:val="000000"/>
          <w:sz w:val="30"/>
          <w:szCs w:val="30"/>
          <w:shd w:val="clear" w:color="auto" w:fill="FFFFFF"/>
        </w:rPr>
        <w:t>Yunnan Coal and Energy Co., Ltd.</w:t>
      </w:r>
      <w:proofErr w:type="gramEnd"/>
    </w:p>
    <w:p w:rsidR="00E617D7" w:rsidRDefault="002A30C3">
      <w:pPr>
        <w:spacing w:beforeLines="50" w:before="156" w:afterLines="100" w:after="312" w:line="360" w:lineRule="auto"/>
        <w:jc w:val="center"/>
        <w:rPr>
          <w:b/>
          <w:spacing w:val="20"/>
          <w:sz w:val="30"/>
          <w:szCs w:val="30"/>
        </w:rPr>
      </w:pPr>
      <w:r>
        <w:rPr>
          <w:rFonts w:eastAsia="楷体"/>
          <w:color w:val="000000"/>
          <w:sz w:val="30"/>
          <w:szCs w:val="30"/>
        </w:rPr>
        <w:t>（云南省昆明经开区经开路</w:t>
      </w:r>
      <w:r>
        <w:rPr>
          <w:rFonts w:eastAsia="楷体"/>
          <w:color w:val="000000"/>
          <w:sz w:val="30"/>
          <w:szCs w:val="30"/>
        </w:rPr>
        <w:t>3</w:t>
      </w:r>
      <w:r>
        <w:rPr>
          <w:rFonts w:eastAsia="楷体"/>
          <w:color w:val="000000"/>
          <w:sz w:val="30"/>
          <w:szCs w:val="30"/>
        </w:rPr>
        <w:t>号科技创新园</w:t>
      </w:r>
      <w:r>
        <w:rPr>
          <w:rFonts w:eastAsia="楷体"/>
          <w:color w:val="000000"/>
          <w:sz w:val="30"/>
          <w:szCs w:val="30"/>
        </w:rPr>
        <w:t>A46</w:t>
      </w:r>
      <w:r>
        <w:rPr>
          <w:rFonts w:eastAsia="楷体"/>
          <w:color w:val="000000"/>
          <w:sz w:val="30"/>
          <w:szCs w:val="30"/>
        </w:rPr>
        <w:t>室）</w:t>
      </w:r>
    </w:p>
    <w:p w:rsidR="00E617D7" w:rsidRDefault="00E617D7">
      <w:pPr>
        <w:spacing w:beforeLines="100" w:before="312" w:afterLines="100" w:after="312" w:line="360" w:lineRule="auto"/>
        <w:jc w:val="center"/>
        <w:rPr>
          <w:b/>
          <w:spacing w:val="20"/>
          <w:sz w:val="48"/>
          <w:szCs w:val="48"/>
        </w:rPr>
      </w:pPr>
    </w:p>
    <w:p w:rsidR="00E617D7" w:rsidRDefault="00E617D7">
      <w:pPr>
        <w:spacing w:beforeLines="100" w:before="312" w:afterLines="100" w:after="312" w:line="360" w:lineRule="auto"/>
        <w:jc w:val="center"/>
        <w:rPr>
          <w:b/>
          <w:spacing w:val="20"/>
          <w:sz w:val="48"/>
          <w:szCs w:val="48"/>
        </w:rPr>
      </w:pPr>
    </w:p>
    <w:p w:rsidR="00E617D7" w:rsidRDefault="002A30C3">
      <w:pPr>
        <w:spacing w:beforeLines="100" w:before="312" w:afterLines="100" w:after="312" w:line="360" w:lineRule="auto"/>
        <w:jc w:val="center"/>
        <w:rPr>
          <w:b/>
          <w:spacing w:val="20"/>
          <w:sz w:val="48"/>
          <w:szCs w:val="48"/>
        </w:rPr>
      </w:pPr>
      <w:r>
        <w:rPr>
          <w:b/>
          <w:spacing w:val="20"/>
          <w:sz w:val="48"/>
          <w:szCs w:val="48"/>
        </w:rPr>
        <w:t>2013</w:t>
      </w:r>
      <w:r>
        <w:rPr>
          <w:b/>
          <w:spacing w:val="20"/>
          <w:sz w:val="48"/>
          <w:szCs w:val="48"/>
        </w:rPr>
        <w:t>年公司债券受托管理事务报告</w:t>
      </w:r>
    </w:p>
    <w:p w:rsidR="00E617D7" w:rsidRDefault="002A30C3">
      <w:pPr>
        <w:spacing w:line="360" w:lineRule="auto"/>
        <w:jc w:val="center"/>
        <w:rPr>
          <w:b/>
          <w:spacing w:val="20"/>
          <w:sz w:val="48"/>
          <w:szCs w:val="48"/>
        </w:rPr>
      </w:pPr>
      <w:r>
        <w:rPr>
          <w:b/>
          <w:spacing w:val="20"/>
          <w:sz w:val="48"/>
          <w:szCs w:val="48"/>
        </w:rPr>
        <w:t>（</w:t>
      </w:r>
      <w:r>
        <w:rPr>
          <w:b/>
          <w:spacing w:val="20"/>
          <w:sz w:val="48"/>
          <w:szCs w:val="48"/>
        </w:rPr>
        <w:t>201</w:t>
      </w:r>
      <w:r>
        <w:rPr>
          <w:b/>
          <w:spacing w:val="20"/>
          <w:sz w:val="48"/>
          <w:szCs w:val="48"/>
        </w:rPr>
        <w:t>8</w:t>
      </w:r>
      <w:r>
        <w:rPr>
          <w:b/>
          <w:spacing w:val="20"/>
          <w:sz w:val="48"/>
          <w:szCs w:val="48"/>
        </w:rPr>
        <w:t>年度）</w:t>
      </w:r>
    </w:p>
    <w:p w:rsidR="00E617D7" w:rsidRDefault="00E617D7">
      <w:pPr>
        <w:spacing w:line="360" w:lineRule="auto"/>
        <w:jc w:val="center"/>
        <w:rPr>
          <w:b/>
          <w:sz w:val="48"/>
        </w:rPr>
      </w:pPr>
    </w:p>
    <w:p w:rsidR="00E617D7" w:rsidRDefault="00E617D7">
      <w:pPr>
        <w:jc w:val="center"/>
        <w:rPr>
          <w:b/>
          <w:sz w:val="36"/>
          <w:szCs w:val="36"/>
        </w:rPr>
      </w:pPr>
    </w:p>
    <w:p w:rsidR="00E617D7" w:rsidRDefault="00E617D7">
      <w:pPr>
        <w:jc w:val="center"/>
        <w:rPr>
          <w:b/>
          <w:sz w:val="36"/>
          <w:szCs w:val="36"/>
        </w:rPr>
      </w:pPr>
    </w:p>
    <w:p w:rsidR="00E617D7" w:rsidRDefault="00E617D7">
      <w:pPr>
        <w:jc w:val="center"/>
        <w:rPr>
          <w:b/>
          <w:sz w:val="36"/>
          <w:szCs w:val="36"/>
        </w:rPr>
      </w:pPr>
    </w:p>
    <w:p w:rsidR="00E617D7" w:rsidRDefault="002A30C3">
      <w:pPr>
        <w:jc w:val="center"/>
        <w:rPr>
          <w:b/>
        </w:rPr>
      </w:pPr>
      <w:r>
        <w:rPr>
          <w:b/>
          <w:sz w:val="36"/>
          <w:szCs w:val="36"/>
        </w:rPr>
        <w:t>债券受托管理人</w:t>
      </w:r>
    </w:p>
    <w:bookmarkStart w:id="0" w:name="_Toc138349614"/>
    <w:bookmarkStart w:id="1" w:name="_Toc138349745"/>
    <w:p w:rsidR="00E617D7" w:rsidRDefault="002A30C3">
      <w:pPr>
        <w:pStyle w:val="a8"/>
        <w:spacing w:beforeLines="50" w:before="156" w:afterLines="50" w:after="156" w:line="360" w:lineRule="auto"/>
        <w:ind w:firstLine="0"/>
        <w:jc w:val="center"/>
        <w:rPr>
          <w:rFonts w:ascii="Times New Roman" w:eastAsia="楷体_GB2312" w:hAnsi="Times New Roman"/>
          <w:b/>
          <w:color w:val="000000"/>
          <w:sz w:val="32"/>
          <w:szCs w:val="32"/>
        </w:rPr>
      </w:pPr>
      <w:r>
        <w:rPr>
          <w:rFonts w:ascii="Times New Roman" w:hAnsi="Times New Roman"/>
          <w:noProof/>
        </w:rPr>
        <mc:AlternateContent>
          <mc:Choice Requires="wpg">
            <w:drawing>
              <wp:anchor distT="0" distB="0" distL="114300" distR="114300" simplePos="0" relativeHeight="251659264" behindDoc="0" locked="0" layoutInCell="1" allowOverlap="1">
                <wp:simplePos x="0" y="0"/>
                <wp:positionH relativeFrom="column">
                  <wp:posOffset>800100</wp:posOffset>
                </wp:positionH>
                <wp:positionV relativeFrom="paragraph">
                  <wp:posOffset>81915</wp:posOffset>
                </wp:positionV>
                <wp:extent cx="3771900" cy="891540"/>
                <wp:effectExtent l="0" t="0" r="0" b="3810"/>
                <wp:wrapNone/>
                <wp:docPr id="5" name="组合 5"/>
                <wp:cNvGraphicFramePr/>
                <a:graphic xmlns:a="http://schemas.openxmlformats.org/drawingml/2006/main">
                  <a:graphicData uri="http://schemas.microsoft.com/office/word/2010/wordprocessingGroup">
                    <wpg:wgp>
                      <wpg:cNvGrpSpPr/>
                      <wpg:grpSpPr>
                        <a:xfrm>
                          <a:off x="0" y="0"/>
                          <a:ext cx="3771900" cy="891540"/>
                          <a:chOff x="1980" y="2922"/>
                          <a:chExt cx="5940" cy="1404"/>
                        </a:xfrm>
                      </wpg:grpSpPr>
                      <wps:wsp>
                        <wps:cNvPr id="6" name="Text Box 53"/>
                        <wps:cNvSpPr txBox="1">
                          <a:spLocks noChangeArrowheads="1"/>
                        </wps:cNvSpPr>
                        <wps:spPr bwMode="auto">
                          <a:xfrm>
                            <a:off x="3060" y="3639"/>
                            <a:ext cx="4860" cy="687"/>
                          </a:xfrm>
                          <a:prstGeom prst="rect">
                            <a:avLst/>
                          </a:prstGeom>
                          <a:solidFill>
                            <a:srgbClr val="FFFFFF"/>
                          </a:solidFill>
                          <a:ln>
                            <a:noFill/>
                          </a:ln>
                        </wps:spPr>
                        <wps:txbx>
                          <w:txbxContent>
                            <w:p w:rsidR="00E617D7" w:rsidRDefault="002A30C3">
                              <w:pPr>
                                <w:spacing w:line="240" w:lineRule="atLeast"/>
                                <w:rPr>
                                  <w:rFonts w:eastAsia="华文行楷"/>
                                  <w:w w:val="103"/>
                                  <w:sz w:val="30"/>
                                  <w:szCs w:val="30"/>
                                </w:rPr>
                              </w:pPr>
                              <w:r>
                                <w:rPr>
                                  <w:rFonts w:eastAsia="华文行楷"/>
                                  <w:w w:val="103"/>
                                  <w:sz w:val="30"/>
                                  <w:szCs w:val="30"/>
                                </w:rPr>
                                <w:t>HONGTA SECURITIES CO.</w:t>
                              </w:r>
                              <w:proofErr w:type="gramStart"/>
                              <w:r>
                                <w:rPr>
                                  <w:rFonts w:eastAsia="华文行楷"/>
                                  <w:w w:val="103"/>
                                  <w:sz w:val="30"/>
                                  <w:szCs w:val="30"/>
                                </w:rPr>
                                <w:t>,LTD</w:t>
                              </w:r>
                              <w:proofErr w:type="gramEnd"/>
                              <w:r>
                                <w:rPr>
                                  <w:rFonts w:eastAsia="华文行楷"/>
                                  <w:w w:val="103"/>
                                  <w:sz w:val="30"/>
                                  <w:szCs w:val="30"/>
                                </w:rPr>
                                <w:t>.</w:t>
                              </w:r>
                            </w:p>
                          </w:txbxContent>
                        </wps:txbx>
                        <wps:bodyPr rot="0" vert="horz" wrap="square" lIns="91440" tIns="45720" rIns="91440" bIns="45720" anchor="t" anchorCtr="0" upright="1">
                          <a:noAutofit/>
                        </wps:bodyPr>
                      </wps:wsp>
                      <wps:wsp>
                        <wps:cNvPr id="7" name="Text Box 54"/>
                        <wps:cNvSpPr txBox="1">
                          <a:spLocks noChangeArrowheads="1"/>
                        </wps:cNvSpPr>
                        <wps:spPr bwMode="auto">
                          <a:xfrm>
                            <a:off x="1980" y="2922"/>
                            <a:ext cx="1080" cy="1404"/>
                          </a:xfrm>
                          <a:prstGeom prst="rect">
                            <a:avLst/>
                          </a:prstGeom>
                          <a:solidFill>
                            <a:srgbClr val="FFFFFF"/>
                          </a:solidFill>
                          <a:ln>
                            <a:noFill/>
                          </a:ln>
                        </wps:spPr>
                        <wps:txbx>
                          <w:txbxContent>
                            <w:p w:rsidR="00E617D7" w:rsidRDefault="002A30C3">
                              <w:pPr>
                                <w:jc w:val="center"/>
                              </w:pPr>
                              <w:r>
                                <w:rPr>
                                  <w:rFonts w:hint="eastAsia"/>
                                  <w:noProof/>
                                </w:rPr>
                                <w:drawing>
                                  <wp:inline distT="0" distB="0" distL="0" distR="0">
                                    <wp:extent cx="571500" cy="676275"/>
                                    <wp:effectExtent l="0" t="0" r="0"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71500" cy="6762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8" name="Text Box 55"/>
                        <wps:cNvSpPr txBox="1">
                          <a:spLocks noChangeArrowheads="1"/>
                        </wps:cNvSpPr>
                        <wps:spPr bwMode="auto">
                          <a:xfrm>
                            <a:off x="3060" y="3234"/>
                            <a:ext cx="4860" cy="624"/>
                          </a:xfrm>
                          <a:prstGeom prst="rect">
                            <a:avLst/>
                          </a:prstGeom>
                          <a:solidFill>
                            <a:srgbClr val="FFFFFF"/>
                          </a:solidFill>
                          <a:ln>
                            <a:noFill/>
                          </a:ln>
                        </wps:spPr>
                        <wps:txbx>
                          <w:txbxContent>
                            <w:p w:rsidR="00E617D7" w:rsidRDefault="002A30C3">
                              <w:pPr>
                                <w:spacing w:line="240" w:lineRule="atLeast"/>
                                <w:rPr>
                                  <w:rFonts w:ascii="华文行楷" w:eastAsia="华文行楷" w:hAnsi="华文中宋"/>
                                  <w:sz w:val="44"/>
                                  <w:szCs w:val="44"/>
                                </w:rPr>
                              </w:pPr>
                              <w:r>
                                <w:rPr>
                                  <w:rFonts w:ascii="华文行楷" w:eastAsia="华文行楷" w:hAnsi="华文中宋" w:hint="eastAsia"/>
                                  <w:sz w:val="44"/>
                                  <w:szCs w:val="44"/>
                                </w:rPr>
                                <w:t>红</w:t>
                              </w:r>
                              <w:proofErr w:type="gramStart"/>
                              <w:r>
                                <w:rPr>
                                  <w:rFonts w:ascii="华文行楷" w:eastAsia="华文行楷" w:hAnsi="华文中宋" w:hint="eastAsia"/>
                                  <w:sz w:val="44"/>
                                  <w:szCs w:val="44"/>
                                </w:rPr>
                                <w:t>塔证券</w:t>
                              </w:r>
                              <w:proofErr w:type="gramEnd"/>
                              <w:r>
                                <w:rPr>
                                  <w:rFonts w:ascii="华文行楷" w:eastAsia="华文行楷" w:hAnsi="华文中宋" w:hint="eastAsia"/>
                                  <w:sz w:val="44"/>
                                  <w:szCs w:val="44"/>
                                </w:rPr>
                                <w:t>股份有限公司</w:t>
                              </w:r>
                            </w:p>
                          </w:txbxContent>
                        </wps:txbx>
                        <wps:bodyPr rot="0" vert="horz" wrap="square" lIns="91440" tIns="45720" rIns="91440" bIns="45720" anchor="t" anchorCtr="0" upright="1">
                          <a:noAutofit/>
                        </wps:bodyPr>
                      </wps:wsp>
                    </wpg:wgp>
                  </a:graphicData>
                </a:graphic>
              </wp:anchor>
            </w:drawing>
          </mc:Choice>
          <mc:Fallback xmlns:wpsCustomData="http://www.wps.cn/officeDocument/2013/wpsCustomData" xmlns:w15="http://schemas.microsoft.com/office/word/2012/wordml">
            <w:pict>
              <v:group id="_x0000_s1026" o:spid="_x0000_s1026" o:spt="203" style="position:absolute;left:0pt;margin-left:63pt;margin-top:6.45pt;height:70.2pt;width:297pt;z-index:251659264;mso-width-relative:page;mso-height-relative:page;" coordorigin="1980,2922" coordsize="5940,1404" o:gfxdata="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">
                <o:lock v:ext="edit" aspectratio="f"/>
                <v:shape id="Text Box 53" o:spid="_x0000_s1026" o:spt="202" type="#_x0000_t202" style="position:absolute;left:3060;top:3639;height:687;width:4860;" fillcolor="#FFFFFF" filled="t" stroked="f" coordsize="21600,21600" o:gfxdata="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H4zB6LgAAADaAAAA&#10;DwAAAAAAAAABACAAAAAiAAAAZHJzL2Rvd25yZXYueG1sUEsBAhQAFAAAAAgAh07iQDMvBZ47AAAA&#10;OQAAABAAAAAAAAAAAQAgAAAABwEAAGRycy9zaGFwZXhtbC54bWxQSwUGAAAAAAYABgBbAQAAsQMA&#10;AAAA&#10;">
                  <v:fill on="t" focussize="0,0"/>
                  <v:stroke on="f"/>
                  <v:imagedata o:title=""/>
                  <o:lock v:ext="edit" aspectratio="f"/>
                  <v:textbox>
                    <w:txbxContent>
                      <w:p>
                        <w:pPr>
                          <w:spacing w:line="240" w:lineRule="atLeast"/>
                          <w:rPr>
                            <w:rFonts w:eastAsia="华文行楷"/>
                            <w:w w:val="103"/>
                            <w:sz w:val="30"/>
                            <w:szCs w:val="30"/>
                          </w:rPr>
                        </w:pPr>
                        <w:r>
                          <w:rPr>
                            <w:rFonts w:eastAsia="华文行楷"/>
                            <w:w w:val="103"/>
                            <w:sz w:val="30"/>
                            <w:szCs w:val="30"/>
                          </w:rPr>
                          <w:t>HONGTA SECURITIES CO.,LTD.</w:t>
                        </w:r>
                      </w:p>
                    </w:txbxContent>
                  </v:textbox>
                </v:shape>
                <v:shape id="Text Box 54" o:spid="_x0000_s1026" o:spt="202" type="#_x0000_t202" style="position:absolute;left:1980;top:2922;height:1404;width:1080;" fillcolor="#FFFFFF" filled="t" stroked="f" coordsize="21600,21600" o:gfxdata="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cMBkc7gAAADaAAAA&#10;DwAAAAAAAAABACAAAAAiAAAAZHJzL2Rvd25yZXYueG1sUEsBAhQAFAAAAAgAh07iQDMvBZ47AAAA&#10;OQAAABAAAAAAAAAAAQAgAAAABwEAAGRycy9zaGFwZXhtbC54bWxQSwUGAAAAAAYABgBbAQAAsQMA&#10;AAAA&#10;">
                  <v:fill on="t" focussize="0,0"/>
                  <v:stroke on="f"/>
                  <v:imagedata o:title=""/>
                  <o:lock v:ext="edit" aspectratio="f"/>
                  <v:textbox>
                    <w:txbxContent>
                      <w:p>
                        <w:pPr>
                          <w:jc w:val="center"/>
                        </w:pPr>
                        <w:r>
                          <w:rPr>
                            <w:rFonts w:hint="eastAsia"/>
                          </w:rPr>
                          <w:drawing>
                            <wp:inline distT="0" distB="0" distL="0" distR="0">
                              <wp:extent cx="571500" cy="676275"/>
                              <wp:effectExtent l="0" t="0" r="0"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1500" cy="676275"/>
                                      </a:xfrm>
                                      <a:prstGeom prst="rect">
                                        <a:avLst/>
                                      </a:prstGeom>
                                      <a:noFill/>
                                      <a:ln>
                                        <a:noFill/>
                                      </a:ln>
                                    </pic:spPr>
                                  </pic:pic>
                                </a:graphicData>
                              </a:graphic>
                            </wp:inline>
                          </w:drawing>
                        </w:r>
                      </w:p>
                    </w:txbxContent>
                  </v:textbox>
                </v:shape>
                <v:shape id="Text Box 55" o:spid="_x0000_s1026" o:spt="202" type="#_x0000_t202" style="position:absolute;left:3060;top:3234;height:624;width:4860;" fillcolor="#FFFFFF" filled="t" stroked="f" coordsize="21600,21600" o:gfxdata="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AV/wAbUAAADaAAAADwAA&#10;AAAAAAABACAAAAAiAAAAZHJzL2Rvd25yZXYueG1sUEsBAhQAFAAAAAgAh07iQDMvBZ47AAAAOQAA&#10;ABAAAAAAAAAAAQAgAAAABAEAAGRycy9zaGFwZXhtbC54bWxQSwUGAAAAAAYABgBbAQAArgMAAAAA&#10;">
                  <v:fill on="t" focussize="0,0"/>
                  <v:stroke on="f"/>
                  <v:imagedata o:title=""/>
                  <o:lock v:ext="edit" aspectratio="f"/>
                  <v:textbox>
                    <w:txbxContent>
                      <w:p>
                        <w:pPr>
                          <w:spacing w:line="240" w:lineRule="atLeast"/>
                          <w:rPr>
                            <w:rFonts w:ascii="华文行楷" w:hAnsi="华文中宋" w:eastAsia="华文行楷"/>
                            <w:sz w:val="44"/>
                            <w:szCs w:val="44"/>
                          </w:rPr>
                        </w:pPr>
                        <w:r>
                          <w:rPr>
                            <w:rFonts w:hint="eastAsia" w:ascii="华文行楷" w:hAnsi="华文中宋" w:eastAsia="华文行楷"/>
                            <w:sz w:val="44"/>
                            <w:szCs w:val="44"/>
                          </w:rPr>
                          <w:t>红塔证券股份有限公司</w:t>
                        </w:r>
                      </w:p>
                    </w:txbxContent>
                  </v:textbox>
                </v:shape>
              </v:group>
            </w:pict>
          </mc:Fallback>
        </mc:AlternateContent>
      </w:r>
      <w:bookmarkEnd w:id="0"/>
      <w:bookmarkEnd w:id="1"/>
    </w:p>
    <w:p w:rsidR="00E617D7" w:rsidRDefault="00E617D7">
      <w:pPr>
        <w:pStyle w:val="a8"/>
        <w:spacing w:beforeLines="50" w:before="156" w:afterLines="50" w:after="156" w:line="360" w:lineRule="auto"/>
        <w:ind w:firstLine="0"/>
        <w:jc w:val="center"/>
        <w:rPr>
          <w:rFonts w:ascii="Times New Roman" w:eastAsia="楷体_GB2312" w:hAnsi="Times New Roman"/>
          <w:b/>
          <w:color w:val="000000"/>
          <w:sz w:val="32"/>
          <w:szCs w:val="32"/>
        </w:rPr>
      </w:pPr>
    </w:p>
    <w:p w:rsidR="00E617D7" w:rsidRDefault="002A30C3">
      <w:pPr>
        <w:spacing w:beforeLines="50" w:before="156" w:afterLines="50" w:after="156"/>
        <w:jc w:val="center"/>
        <w:rPr>
          <w:b/>
          <w:bCs/>
          <w:sz w:val="32"/>
          <w:szCs w:val="32"/>
        </w:rPr>
        <w:sectPr w:rsidR="00E617D7">
          <w:footerReference w:type="even" r:id="rId10"/>
          <w:footerReference w:type="default" r:id="rId11"/>
          <w:pgSz w:w="11906" w:h="16838"/>
          <w:pgMar w:top="1440" w:right="1800" w:bottom="1440" w:left="1800" w:header="851" w:footer="992" w:gutter="0"/>
          <w:cols w:space="425"/>
          <w:docGrid w:type="lines" w:linePitch="312"/>
        </w:sectPr>
      </w:pPr>
      <w:r>
        <w:rPr>
          <w:b/>
          <w:bCs/>
          <w:sz w:val="32"/>
          <w:szCs w:val="32"/>
        </w:rPr>
        <w:t>二零一</w:t>
      </w:r>
      <w:r>
        <w:rPr>
          <w:b/>
          <w:bCs/>
          <w:sz w:val="32"/>
          <w:szCs w:val="32"/>
        </w:rPr>
        <w:t>九</w:t>
      </w:r>
      <w:r>
        <w:rPr>
          <w:b/>
          <w:bCs/>
          <w:sz w:val="32"/>
          <w:szCs w:val="32"/>
        </w:rPr>
        <w:t>年五月</w:t>
      </w:r>
    </w:p>
    <w:p w:rsidR="00E617D7" w:rsidRDefault="002A30C3">
      <w:pPr>
        <w:pStyle w:val="1"/>
        <w:jc w:val="center"/>
        <w:rPr>
          <w:sz w:val="28"/>
          <w:szCs w:val="28"/>
        </w:rPr>
      </w:pPr>
      <w:bookmarkStart w:id="2" w:name="_Toc15528"/>
      <w:r>
        <w:rPr>
          <w:sz w:val="28"/>
          <w:szCs w:val="28"/>
        </w:rPr>
        <w:lastRenderedPageBreak/>
        <w:t>重要声明</w:t>
      </w:r>
      <w:bookmarkEnd w:id="2"/>
    </w:p>
    <w:p w:rsidR="00E617D7" w:rsidRDefault="002A30C3">
      <w:pPr>
        <w:pStyle w:val="Default"/>
        <w:spacing w:beforeLines="50" w:before="156" w:afterLines="50" w:after="156" w:line="360" w:lineRule="auto"/>
        <w:ind w:firstLineChars="200" w:firstLine="480"/>
        <w:jc w:val="both"/>
        <w:rPr>
          <w:rFonts w:ascii="Times New Roman" w:eastAsia="宋体" w:cs="Times New Roman"/>
        </w:rPr>
      </w:pPr>
      <w:r>
        <w:rPr>
          <w:rFonts w:ascii="Times New Roman" w:eastAsia="宋体" w:cs="Times New Roman"/>
        </w:rPr>
        <w:t>红</w:t>
      </w:r>
      <w:proofErr w:type="gramStart"/>
      <w:r>
        <w:rPr>
          <w:rFonts w:ascii="Times New Roman" w:eastAsia="宋体" w:cs="Times New Roman"/>
        </w:rPr>
        <w:t>塔证券</w:t>
      </w:r>
      <w:proofErr w:type="gramEnd"/>
      <w:r>
        <w:rPr>
          <w:rFonts w:ascii="Times New Roman" w:eastAsia="宋体" w:cs="Times New Roman"/>
        </w:rPr>
        <w:t>股份有限公司（以下简称</w:t>
      </w:r>
      <w:r>
        <w:rPr>
          <w:rFonts w:ascii="Times New Roman" w:eastAsia="宋体" w:cs="Times New Roman"/>
        </w:rPr>
        <w:t>“</w:t>
      </w:r>
      <w:r>
        <w:rPr>
          <w:rFonts w:ascii="Times New Roman" w:eastAsia="宋体" w:cs="Times New Roman"/>
        </w:rPr>
        <w:t>红塔证券</w:t>
      </w:r>
      <w:r>
        <w:rPr>
          <w:rFonts w:ascii="Times New Roman" w:eastAsia="宋体" w:cs="Times New Roman"/>
        </w:rPr>
        <w:t>”</w:t>
      </w:r>
      <w:r>
        <w:rPr>
          <w:rFonts w:ascii="Times New Roman" w:eastAsia="宋体" w:cs="Times New Roman"/>
        </w:rPr>
        <w:t>）编制本报告的内容及信息均来源于云南煤业能源股份有限公司（以下简称</w:t>
      </w:r>
      <w:r>
        <w:rPr>
          <w:rFonts w:ascii="Times New Roman" w:eastAsia="宋体" w:cs="Times New Roman"/>
        </w:rPr>
        <w:t>“</w:t>
      </w:r>
      <w:r>
        <w:rPr>
          <w:rFonts w:ascii="Times New Roman" w:eastAsia="宋体" w:cs="Times New Roman"/>
        </w:rPr>
        <w:t>发行人</w:t>
      </w:r>
      <w:r>
        <w:rPr>
          <w:rFonts w:ascii="Times New Roman" w:eastAsia="宋体" w:cs="Times New Roman"/>
        </w:rPr>
        <w:t>”</w:t>
      </w:r>
      <w:r>
        <w:rPr>
          <w:rFonts w:ascii="Times New Roman" w:eastAsia="宋体" w:cs="Times New Roman"/>
        </w:rPr>
        <w:t>、</w:t>
      </w:r>
      <w:r>
        <w:rPr>
          <w:rFonts w:ascii="Times New Roman" w:eastAsia="宋体" w:cs="Times New Roman"/>
        </w:rPr>
        <w:t>“</w:t>
      </w:r>
      <w:r>
        <w:rPr>
          <w:rFonts w:ascii="Times New Roman" w:eastAsia="宋体" w:cs="Times New Roman"/>
        </w:rPr>
        <w:t>公司</w:t>
      </w:r>
      <w:r>
        <w:rPr>
          <w:rFonts w:ascii="Times New Roman" w:eastAsia="宋体" w:cs="Times New Roman"/>
        </w:rPr>
        <w:t>”</w:t>
      </w:r>
      <w:r>
        <w:rPr>
          <w:rFonts w:ascii="Times New Roman" w:eastAsia="宋体" w:cs="Times New Roman"/>
        </w:rPr>
        <w:t>或</w:t>
      </w:r>
      <w:r>
        <w:rPr>
          <w:rFonts w:ascii="Times New Roman" w:eastAsia="宋体" w:cs="Times New Roman"/>
        </w:rPr>
        <w:t>“</w:t>
      </w:r>
      <w:r>
        <w:rPr>
          <w:rFonts w:ascii="Times New Roman" w:eastAsia="宋体" w:cs="Times New Roman"/>
        </w:rPr>
        <w:t>云煤能源</w:t>
      </w:r>
      <w:r>
        <w:rPr>
          <w:rFonts w:ascii="Times New Roman" w:eastAsia="宋体" w:cs="Times New Roman"/>
        </w:rPr>
        <w:t>”</w:t>
      </w:r>
      <w:r>
        <w:rPr>
          <w:rFonts w:ascii="Times New Roman" w:eastAsia="宋体" w:cs="Times New Roman"/>
        </w:rPr>
        <w:t>）对外公布的《云南煤业能源股份有限公司</w:t>
      </w:r>
      <w:r>
        <w:rPr>
          <w:rFonts w:ascii="Times New Roman" w:eastAsia="宋体" w:cs="Times New Roman"/>
        </w:rPr>
        <w:t>201</w:t>
      </w:r>
      <w:r>
        <w:rPr>
          <w:rFonts w:ascii="Times New Roman" w:eastAsia="宋体" w:cs="Times New Roman"/>
        </w:rPr>
        <w:t>8</w:t>
      </w:r>
      <w:r>
        <w:rPr>
          <w:rFonts w:ascii="Times New Roman" w:eastAsia="宋体" w:cs="Times New Roman"/>
        </w:rPr>
        <w:t>年年度报告》等相关公开信息披露文件、发行人提供的证明文件以及第三方中介机构出具的专业意见。</w:t>
      </w:r>
    </w:p>
    <w:p w:rsidR="00E617D7" w:rsidRDefault="002A30C3">
      <w:pPr>
        <w:spacing w:beforeLines="50" w:before="156" w:afterLines="50" w:after="156" w:line="360" w:lineRule="auto"/>
        <w:ind w:firstLineChars="200" w:firstLine="480"/>
        <w:rPr>
          <w:sz w:val="24"/>
        </w:rPr>
        <w:sectPr w:rsidR="00E617D7">
          <w:footerReference w:type="default" r:id="rId12"/>
          <w:pgSz w:w="11906" w:h="16838"/>
          <w:pgMar w:top="1440" w:right="1800" w:bottom="1440" w:left="1800" w:header="851" w:footer="992" w:gutter="0"/>
          <w:pgNumType w:start="1"/>
          <w:cols w:space="425"/>
          <w:docGrid w:type="lines" w:linePitch="312"/>
        </w:sectPr>
      </w:pPr>
      <w:r>
        <w:rPr>
          <w:sz w:val="24"/>
        </w:rPr>
        <w:t>本报告不构成对投资者进行或不进行某项行为的推荐意见，投资者应对相关事宜做出独立判断，而不应将本报告中的任何内容据以作为红</w:t>
      </w:r>
      <w:proofErr w:type="gramStart"/>
      <w:r>
        <w:rPr>
          <w:sz w:val="24"/>
        </w:rPr>
        <w:t>塔证券</w:t>
      </w:r>
      <w:proofErr w:type="gramEnd"/>
      <w:r>
        <w:rPr>
          <w:sz w:val="24"/>
        </w:rPr>
        <w:t>所作的承诺或声明。在任何情况下，投资者依据本报告所进行的任何作为或不作为，红</w:t>
      </w:r>
      <w:proofErr w:type="gramStart"/>
      <w:r>
        <w:rPr>
          <w:sz w:val="24"/>
        </w:rPr>
        <w:t>塔证券不</w:t>
      </w:r>
      <w:proofErr w:type="gramEnd"/>
      <w:r>
        <w:rPr>
          <w:sz w:val="24"/>
        </w:rPr>
        <w:t>承担任何责任。</w:t>
      </w:r>
    </w:p>
    <w:p w:rsidR="00E617D7" w:rsidRDefault="002A30C3">
      <w:pPr>
        <w:pStyle w:val="1"/>
        <w:jc w:val="center"/>
        <w:rPr>
          <w:sz w:val="28"/>
          <w:szCs w:val="28"/>
        </w:rPr>
      </w:pPr>
      <w:bookmarkStart w:id="3" w:name="_Toc14911"/>
      <w:r>
        <w:rPr>
          <w:sz w:val="28"/>
          <w:szCs w:val="28"/>
        </w:rPr>
        <w:lastRenderedPageBreak/>
        <w:t>目</w:t>
      </w:r>
      <w:r>
        <w:rPr>
          <w:sz w:val="28"/>
          <w:szCs w:val="28"/>
        </w:rPr>
        <w:t xml:space="preserve"> </w:t>
      </w:r>
      <w:r>
        <w:rPr>
          <w:sz w:val="28"/>
          <w:szCs w:val="28"/>
        </w:rPr>
        <w:t>录</w:t>
      </w:r>
      <w:bookmarkEnd w:id="3"/>
    </w:p>
    <w:p w:rsidR="00E617D7" w:rsidRDefault="002A30C3" w:rsidP="001F46E2">
      <w:pPr>
        <w:pStyle w:val="10"/>
        <w:tabs>
          <w:tab w:val="clear" w:pos="8296"/>
          <w:tab w:val="right" w:leader="dot" w:pos="8306"/>
        </w:tabs>
        <w:spacing w:beforeLines="50" w:before="156" w:afterLines="50" w:after="156"/>
      </w:pPr>
      <w:r>
        <w:rPr>
          <w:b w:val="0"/>
          <w:kern w:val="2"/>
          <w:sz w:val="24"/>
        </w:rPr>
        <w:fldChar w:fldCharType="begin"/>
      </w:r>
      <w:r>
        <w:rPr>
          <w:b w:val="0"/>
          <w:sz w:val="24"/>
        </w:rPr>
        <w:instrText xml:space="preserve"> TOC \o "1-3" \h \z \u </w:instrText>
      </w:r>
      <w:r>
        <w:rPr>
          <w:b w:val="0"/>
          <w:kern w:val="2"/>
          <w:sz w:val="24"/>
        </w:rPr>
        <w:fldChar w:fldCharType="separate"/>
      </w:r>
      <w:hyperlink w:anchor="_Toc15528" w:history="1">
        <w:r>
          <w:rPr>
            <w:szCs w:val="28"/>
          </w:rPr>
          <w:t>重要声明</w:t>
        </w:r>
        <w:r>
          <w:tab/>
        </w:r>
        <w:r>
          <w:fldChar w:fldCharType="begin"/>
        </w:r>
        <w:r>
          <w:instrText xml:space="preserve"> PAGEREF _Toc15528 </w:instrText>
        </w:r>
        <w:r>
          <w:fldChar w:fldCharType="separate"/>
        </w:r>
        <w:r>
          <w:t>1</w:t>
        </w:r>
        <w:r>
          <w:fldChar w:fldCharType="end"/>
        </w:r>
      </w:hyperlink>
    </w:p>
    <w:p w:rsidR="00E617D7" w:rsidRDefault="002A30C3" w:rsidP="001F46E2">
      <w:pPr>
        <w:pStyle w:val="10"/>
        <w:tabs>
          <w:tab w:val="clear" w:pos="8296"/>
          <w:tab w:val="right" w:leader="dot" w:pos="8306"/>
        </w:tabs>
        <w:spacing w:beforeLines="50" w:before="156" w:afterLines="50" w:after="156"/>
        <w:rPr>
          <w:sz w:val="24"/>
          <w:szCs w:val="32"/>
        </w:rPr>
      </w:pPr>
      <w:hyperlink w:anchor="_Toc14911" w:history="1">
        <w:r>
          <w:rPr>
            <w:sz w:val="24"/>
            <w:szCs w:val="36"/>
          </w:rPr>
          <w:t>目</w:t>
        </w:r>
        <w:r>
          <w:rPr>
            <w:sz w:val="24"/>
            <w:szCs w:val="36"/>
          </w:rPr>
          <w:t xml:space="preserve"> </w:t>
        </w:r>
        <w:r>
          <w:rPr>
            <w:sz w:val="24"/>
            <w:szCs w:val="36"/>
          </w:rPr>
          <w:t>录</w:t>
        </w:r>
        <w:r>
          <w:rPr>
            <w:sz w:val="24"/>
            <w:szCs w:val="32"/>
          </w:rPr>
          <w:tab/>
        </w:r>
        <w:r>
          <w:rPr>
            <w:sz w:val="24"/>
            <w:szCs w:val="32"/>
          </w:rPr>
          <w:fldChar w:fldCharType="begin"/>
        </w:r>
        <w:r>
          <w:rPr>
            <w:sz w:val="24"/>
            <w:szCs w:val="32"/>
          </w:rPr>
          <w:instrText xml:space="preserve"> PAGEREF _Toc14911 </w:instrText>
        </w:r>
        <w:r>
          <w:rPr>
            <w:sz w:val="24"/>
            <w:szCs w:val="32"/>
          </w:rPr>
          <w:fldChar w:fldCharType="separate"/>
        </w:r>
        <w:r>
          <w:rPr>
            <w:sz w:val="24"/>
            <w:szCs w:val="32"/>
          </w:rPr>
          <w:t>2</w:t>
        </w:r>
        <w:r>
          <w:rPr>
            <w:sz w:val="24"/>
            <w:szCs w:val="32"/>
          </w:rPr>
          <w:fldChar w:fldCharType="end"/>
        </w:r>
      </w:hyperlink>
    </w:p>
    <w:p w:rsidR="00E617D7" w:rsidRDefault="002A30C3" w:rsidP="001F46E2">
      <w:pPr>
        <w:pStyle w:val="10"/>
        <w:tabs>
          <w:tab w:val="clear" w:pos="8296"/>
          <w:tab w:val="right" w:leader="dot" w:pos="8306"/>
        </w:tabs>
        <w:spacing w:beforeLines="50" w:before="156" w:afterLines="50" w:after="156"/>
        <w:rPr>
          <w:sz w:val="24"/>
          <w:szCs w:val="32"/>
        </w:rPr>
      </w:pPr>
      <w:hyperlink w:anchor="_Toc8472" w:history="1">
        <w:r>
          <w:rPr>
            <w:sz w:val="24"/>
            <w:szCs w:val="36"/>
          </w:rPr>
          <w:t>重大事项提示</w:t>
        </w:r>
        <w:r>
          <w:rPr>
            <w:sz w:val="24"/>
            <w:szCs w:val="32"/>
          </w:rPr>
          <w:tab/>
        </w:r>
        <w:r>
          <w:rPr>
            <w:sz w:val="24"/>
            <w:szCs w:val="32"/>
          </w:rPr>
          <w:fldChar w:fldCharType="begin"/>
        </w:r>
        <w:r>
          <w:rPr>
            <w:sz w:val="24"/>
            <w:szCs w:val="32"/>
          </w:rPr>
          <w:instrText xml:space="preserve"> PAGEREF _Toc8472 </w:instrText>
        </w:r>
        <w:r>
          <w:rPr>
            <w:sz w:val="24"/>
            <w:szCs w:val="32"/>
          </w:rPr>
          <w:fldChar w:fldCharType="separate"/>
        </w:r>
        <w:r>
          <w:rPr>
            <w:sz w:val="24"/>
            <w:szCs w:val="32"/>
          </w:rPr>
          <w:t>3</w:t>
        </w:r>
        <w:r>
          <w:rPr>
            <w:sz w:val="24"/>
            <w:szCs w:val="32"/>
          </w:rPr>
          <w:fldChar w:fldCharType="end"/>
        </w:r>
      </w:hyperlink>
    </w:p>
    <w:p w:rsidR="00E617D7" w:rsidRDefault="002A30C3" w:rsidP="001F46E2">
      <w:pPr>
        <w:pStyle w:val="10"/>
        <w:tabs>
          <w:tab w:val="clear" w:pos="8296"/>
          <w:tab w:val="right" w:leader="dot" w:pos="8306"/>
        </w:tabs>
        <w:spacing w:beforeLines="50" w:before="156" w:afterLines="50" w:after="156"/>
        <w:rPr>
          <w:sz w:val="24"/>
          <w:szCs w:val="32"/>
        </w:rPr>
      </w:pPr>
      <w:hyperlink w:anchor="_Toc29219" w:history="1">
        <w:r>
          <w:rPr>
            <w:sz w:val="24"/>
            <w:szCs w:val="36"/>
          </w:rPr>
          <w:t>第一章</w:t>
        </w:r>
        <w:r>
          <w:rPr>
            <w:sz w:val="24"/>
            <w:szCs w:val="36"/>
          </w:rPr>
          <w:t xml:space="preserve"> </w:t>
        </w:r>
        <w:r>
          <w:rPr>
            <w:sz w:val="24"/>
            <w:szCs w:val="36"/>
          </w:rPr>
          <w:t>本期债券概要</w:t>
        </w:r>
        <w:r>
          <w:rPr>
            <w:sz w:val="24"/>
            <w:szCs w:val="32"/>
          </w:rPr>
          <w:tab/>
        </w:r>
        <w:r>
          <w:rPr>
            <w:sz w:val="24"/>
            <w:szCs w:val="32"/>
          </w:rPr>
          <w:fldChar w:fldCharType="begin"/>
        </w:r>
        <w:r>
          <w:rPr>
            <w:sz w:val="24"/>
            <w:szCs w:val="32"/>
          </w:rPr>
          <w:instrText xml:space="preserve"> PAGEREF _Toc29219 </w:instrText>
        </w:r>
        <w:r>
          <w:rPr>
            <w:sz w:val="24"/>
            <w:szCs w:val="32"/>
          </w:rPr>
          <w:fldChar w:fldCharType="separate"/>
        </w:r>
        <w:r>
          <w:rPr>
            <w:sz w:val="24"/>
            <w:szCs w:val="32"/>
          </w:rPr>
          <w:t>4</w:t>
        </w:r>
        <w:r>
          <w:rPr>
            <w:sz w:val="24"/>
            <w:szCs w:val="32"/>
          </w:rPr>
          <w:fldChar w:fldCharType="end"/>
        </w:r>
      </w:hyperlink>
    </w:p>
    <w:p w:rsidR="00E617D7" w:rsidRDefault="002A30C3" w:rsidP="001F46E2">
      <w:pPr>
        <w:pStyle w:val="10"/>
        <w:tabs>
          <w:tab w:val="clear" w:pos="8296"/>
          <w:tab w:val="right" w:leader="dot" w:pos="8306"/>
        </w:tabs>
        <w:spacing w:beforeLines="50" w:before="156" w:afterLines="50" w:after="156"/>
        <w:rPr>
          <w:sz w:val="24"/>
          <w:szCs w:val="32"/>
        </w:rPr>
      </w:pPr>
      <w:hyperlink w:anchor="_Toc16627" w:history="1">
        <w:r>
          <w:rPr>
            <w:sz w:val="24"/>
            <w:szCs w:val="36"/>
          </w:rPr>
          <w:t>第二章</w:t>
        </w:r>
        <w:r>
          <w:rPr>
            <w:sz w:val="24"/>
            <w:szCs w:val="36"/>
          </w:rPr>
          <w:t xml:space="preserve"> </w:t>
        </w:r>
        <w:r>
          <w:rPr>
            <w:sz w:val="24"/>
            <w:szCs w:val="36"/>
          </w:rPr>
          <w:t>受托管理人职责履行情况</w:t>
        </w:r>
        <w:r>
          <w:rPr>
            <w:sz w:val="24"/>
            <w:szCs w:val="32"/>
          </w:rPr>
          <w:tab/>
        </w:r>
        <w:r>
          <w:rPr>
            <w:sz w:val="24"/>
            <w:szCs w:val="32"/>
          </w:rPr>
          <w:fldChar w:fldCharType="begin"/>
        </w:r>
        <w:r>
          <w:rPr>
            <w:sz w:val="24"/>
            <w:szCs w:val="32"/>
          </w:rPr>
          <w:instrText xml:space="preserve"> PAGEREF _Toc16627 </w:instrText>
        </w:r>
        <w:r>
          <w:rPr>
            <w:sz w:val="24"/>
            <w:szCs w:val="32"/>
          </w:rPr>
          <w:fldChar w:fldCharType="separate"/>
        </w:r>
        <w:r>
          <w:rPr>
            <w:sz w:val="24"/>
            <w:szCs w:val="32"/>
          </w:rPr>
          <w:t>6</w:t>
        </w:r>
        <w:r>
          <w:rPr>
            <w:sz w:val="24"/>
            <w:szCs w:val="32"/>
          </w:rPr>
          <w:fldChar w:fldCharType="end"/>
        </w:r>
      </w:hyperlink>
    </w:p>
    <w:p w:rsidR="00E617D7" w:rsidRDefault="002A30C3" w:rsidP="001F46E2">
      <w:pPr>
        <w:pStyle w:val="10"/>
        <w:tabs>
          <w:tab w:val="clear" w:pos="8296"/>
          <w:tab w:val="right" w:leader="dot" w:pos="8306"/>
        </w:tabs>
        <w:spacing w:beforeLines="50" w:before="156" w:afterLines="50" w:after="156"/>
        <w:rPr>
          <w:sz w:val="24"/>
          <w:szCs w:val="32"/>
        </w:rPr>
      </w:pPr>
      <w:hyperlink w:anchor="_Toc22174" w:history="1">
        <w:r>
          <w:rPr>
            <w:sz w:val="24"/>
            <w:szCs w:val="36"/>
          </w:rPr>
          <w:t>第三章</w:t>
        </w:r>
        <w:r>
          <w:rPr>
            <w:sz w:val="24"/>
            <w:szCs w:val="36"/>
          </w:rPr>
          <w:t xml:space="preserve"> </w:t>
        </w:r>
        <w:r>
          <w:rPr>
            <w:sz w:val="24"/>
            <w:szCs w:val="36"/>
          </w:rPr>
          <w:t>发行人</w:t>
        </w:r>
        <w:r>
          <w:rPr>
            <w:sz w:val="24"/>
            <w:szCs w:val="36"/>
          </w:rPr>
          <w:t>201</w:t>
        </w:r>
        <w:r>
          <w:rPr>
            <w:sz w:val="24"/>
            <w:szCs w:val="36"/>
          </w:rPr>
          <w:t>8</w:t>
        </w:r>
        <w:r>
          <w:rPr>
            <w:sz w:val="24"/>
            <w:szCs w:val="36"/>
          </w:rPr>
          <w:t>年度经营和财务状况</w:t>
        </w:r>
        <w:r>
          <w:rPr>
            <w:sz w:val="24"/>
            <w:szCs w:val="32"/>
          </w:rPr>
          <w:tab/>
        </w:r>
        <w:r>
          <w:rPr>
            <w:sz w:val="24"/>
            <w:szCs w:val="32"/>
          </w:rPr>
          <w:fldChar w:fldCharType="begin"/>
        </w:r>
        <w:r>
          <w:rPr>
            <w:sz w:val="24"/>
            <w:szCs w:val="32"/>
          </w:rPr>
          <w:instrText xml:space="preserve"> PAGEREF _Toc22174 </w:instrText>
        </w:r>
        <w:r>
          <w:rPr>
            <w:sz w:val="24"/>
            <w:szCs w:val="32"/>
          </w:rPr>
          <w:fldChar w:fldCharType="separate"/>
        </w:r>
        <w:r>
          <w:rPr>
            <w:sz w:val="24"/>
            <w:szCs w:val="32"/>
          </w:rPr>
          <w:t>7</w:t>
        </w:r>
        <w:r>
          <w:rPr>
            <w:sz w:val="24"/>
            <w:szCs w:val="32"/>
          </w:rPr>
          <w:fldChar w:fldCharType="end"/>
        </w:r>
      </w:hyperlink>
    </w:p>
    <w:p w:rsidR="00E617D7" w:rsidRDefault="002A30C3" w:rsidP="001F46E2">
      <w:pPr>
        <w:pStyle w:val="10"/>
        <w:tabs>
          <w:tab w:val="clear" w:pos="8296"/>
          <w:tab w:val="right" w:leader="dot" w:pos="8306"/>
        </w:tabs>
        <w:spacing w:beforeLines="50" w:before="156" w:afterLines="50" w:after="156"/>
        <w:rPr>
          <w:sz w:val="24"/>
          <w:szCs w:val="32"/>
        </w:rPr>
      </w:pPr>
      <w:hyperlink w:anchor="_Toc30584" w:history="1">
        <w:r>
          <w:rPr>
            <w:sz w:val="24"/>
            <w:szCs w:val="36"/>
          </w:rPr>
          <w:t>第四章</w:t>
        </w:r>
        <w:r>
          <w:rPr>
            <w:sz w:val="24"/>
            <w:szCs w:val="36"/>
          </w:rPr>
          <w:t xml:space="preserve"> </w:t>
        </w:r>
        <w:r>
          <w:rPr>
            <w:sz w:val="24"/>
            <w:szCs w:val="36"/>
          </w:rPr>
          <w:t>发行人募集资金使用情况</w:t>
        </w:r>
        <w:r>
          <w:rPr>
            <w:sz w:val="24"/>
            <w:szCs w:val="32"/>
          </w:rPr>
          <w:tab/>
        </w:r>
        <w:r>
          <w:rPr>
            <w:sz w:val="24"/>
            <w:szCs w:val="32"/>
          </w:rPr>
          <w:fldChar w:fldCharType="begin"/>
        </w:r>
        <w:r>
          <w:rPr>
            <w:sz w:val="24"/>
            <w:szCs w:val="32"/>
          </w:rPr>
          <w:instrText xml:space="preserve"> PAGEREF _Toc30584 </w:instrText>
        </w:r>
        <w:r>
          <w:rPr>
            <w:sz w:val="24"/>
            <w:szCs w:val="32"/>
          </w:rPr>
          <w:fldChar w:fldCharType="separate"/>
        </w:r>
        <w:r>
          <w:rPr>
            <w:sz w:val="24"/>
            <w:szCs w:val="32"/>
          </w:rPr>
          <w:t>11</w:t>
        </w:r>
        <w:r>
          <w:rPr>
            <w:sz w:val="24"/>
            <w:szCs w:val="32"/>
          </w:rPr>
          <w:fldChar w:fldCharType="end"/>
        </w:r>
      </w:hyperlink>
    </w:p>
    <w:p w:rsidR="00E617D7" w:rsidRDefault="002A30C3" w:rsidP="001F46E2">
      <w:pPr>
        <w:pStyle w:val="10"/>
        <w:tabs>
          <w:tab w:val="clear" w:pos="8296"/>
          <w:tab w:val="right" w:leader="dot" w:pos="8306"/>
        </w:tabs>
        <w:spacing w:beforeLines="50" w:before="156" w:afterLines="50" w:after="156"/>
        <w:rPr>
          <w:sz w:val="24"/>
          <w:szCs w:val="32"/>
        </w:rPr>
      </w:pPr>
      <w:hyperlink w:anchor="_Toc30409" w:history="1">
        <w:r>
          <w:rPr>
            <w:sz w:val="24"/>
            <w:szCs w:val="36"/>
          </w:rPr>
          <w:t>第五章</w:t>
        </w:r>
        <w:r>
          <w:rPr>
            <w:sz w:val="24"/>
            <w:szCs w:val="36"/>
          </w:rPr>
          <w:t xml:space="preserve"> </w:t>
        </w:r>
        <w:r>
          <w:rPr>
            <w:sz w:val="24"/>
            <w:szCs w:val="36"/>
          </w:rPr>
          <w:t>本次债券增信机制及偿债保障措施执行情况</w:t>
        </w:r>
        <w:r>
          <w:rPr>
            <w:sz w:val="24"/>
            <w:szCs w:val="32"/>
          </w:rPr>
          <w:tab/>
        </w:r>
        <w:r>
          <w:rPr>
            <w:sz w:val="24"/>
            <w:szCs w:val="32"/>
          </w:rPr>
          <w:fldChar w:fldCharType="begin"/>
        </w:r>
        <w:r>
          <w:rPr>
            <w:sz w:val="24"/>
            <w:szCs w:val="32"/>
          </w:rPr>
          <w:instrText xml:space="preserve"> PAGEREF _Toc30409 </w:instrText>
        </w:r>
        <w:r>
          <w:rPr>
            <w:sz w:val="24"/>
            <w:szCs w:val="32"/>
          </w:rPr>
          <w:fldChar w:fldCharType="separate"/>
        </w:r>
        <w:r>
          <w:rPr>
            <w:sz w:val="24"/>
            <w:szCs w:val="32"/>
          </w:rPr>
          <w:t>12</w:t>
        </w:r>
        <w:r>
          <w:rPr>
            <w:sz w:val="24"/>
            <w:szCs w:val="32"/>
          </w:rPr>
          <w:fldChar w:fldCharType="end"/>
        </w:r>
      </w:hyperlink>
    </w:p>
    <w:p w:rsidR="00E617D7" w:rsidRDefault="002A30C3" w:rsidP="001F46E2">
      <w:pPr>
        <w:pStyle w:val="10"/>
        <w:tabs>
          <w:tab w:val="clear" w:pos="8296"/>
          <w:tab w:val="right" w:leader="dot" w:pos="8306"/>
        </w:tabs>
        <w:spacing w:beforeLines="50" w:before="156" w:afterLines="50" w:after="156"/>
        <w:rPr>
          <w:sz w:val="24"/>
          <w:szCs w:val="32"/>
        </w:rPr>
      </w:pPr>
      <w:hyperlink w:anchor="_Toc31977" w:history="1">
        <w:r>
          <w:rPr>
            <w:sz w:val="24"/>
            <w:szCs w:val="36"/>
          </w:rPr>
          <w:t>第六章</w:t>
        </w:r>
        <w:r>
          <w:rPr>
            <w:sz w:val="24"/>
            <w:szCs w:val="36"/>
          </w:rPr>
          <w:t xml:space="preserve"> </w:t>
        </w:r>
        <w:r>
          <w:rPr>
            <w:sz w:val="24"/>
            <w:szCs w:val="36"/>
          </w:rPr>
          <w:t>本期债券担保人资信情况</w:t>
        </w:r>
        <w:r>
          <w:rPr>
            <w:sz w:val="24"/>
            <w:szCs w:val="32"/>
          </w:rPr>
          <w:tab/>
        </w:r>
        <w:r>
          <w:rPr>
            <w:sz w:val="24"/>
            <w:szCs w:val="32"/>
          </w:rPr>
          <w:fldChar w:fldCharType="begin"/>
        </w:r>
        <w:r>
          <w:rPr>
            <w:sz w:val="24"/>
            <w:szCs w:val="32"/>
          </w:rPr>
          <w:instrText xml:space="preserve"> PAGEREF _Toc31977 </w:instrText>
        </w:r>
        <w:r>
          <w:rPr>
            <w:sz w:val="24"/>
            <w:szCs w:val="32"/>
          </w:rPr>
          <w:fldChar w:fldCharType="separate"/>
        </w:r>
        <w:r>
          <w:rPr>
            <w:sz w:val="24"/>
            <w:szCs w:val="32"/>
          </w:rPr>
          <w:t>13</w:t>
        </w:r>
        <w:r>
          <w:rPr>
            <w:sz w:val="24"/>
            <w:szCs w:val="32"/>
          </w:rPr>
          <w:fldChar w:fldCharType="end"/>
        </w:r>
      </w:hyperlink>
    </w:p>
    <w:p w:rsidR="00E617D7" w:rsidRDefault="002A30C3" w:rsidP="001F46E2">
      <w:pPr>
        <w:pStyle w:val="10"/>
        <w:tabs>
          <w:tab w:val="clear" w:pos="8296"/>
          <w:tab w:val="right" w:leader="dot" w:pos="8306"/>
        </w:tabs>
        <w:spacing w:beforeLines="50" w:before="156" w:afterLines="50" w:after="156"/>
        <w:rPr>
          <w:sz w:val="24"/>
          <w:szCs w:val="32"/>
        </w:rPr>
      </w:pPr>
      <w:hyperlink w:anchor="_Toc8511" w:history="1">
        <w:r>
          <w:rPr>
            <w:sz w:val="24"/>
            <w:szCs w:val="36"/>
          </w:rPr>
          <w:t>第七章</w:t>
        </w:r>
        <w:r>
          <w:rPr>
            <w:sz w:val="24"/>
            <w:szCs w:val="36"/>
          </w:rPr>
          <w:t xml:space="preserve"> </w:t>
        </w:r>
        <w:r>
          <w:rPr>
            <w:sz w:val="24"/>
            <w:szCs w:val="36"/>
          </w:rPr>
          <w:t>债券持有人会议召开的情况</w:t>
        </w:r>
        <w:r>
          <w:rPr>
            <w:sz w:val="24"/>
            <w:szCs w:val="32"/>
          </w:rPr>
          <w:tab/>
        </w:r>
        <w:r>
          <w:rPr>
            <w:sz w:val="24"/>
            <w:szCs w:val="32"/>
          </w:rPr>
          <w:fldChar w:fldCharType="begin"/>
        </w:r>
        <w:r>
          <w:rPr>
            <w:sz w:val="24"/>
            <w:szCs w:val="32"/>
          </w:rPr>
          <w:instrText xml:space="preserve"> PAG</w:instrText>
        </w:r>
        <w:r>
          <w:rPr>
            <w:sz w:val="24"/>
            <w:szCs w:val="32"/>
          </w:rPr>
          <w:instrText xml:space="preserve">EREF _Toc8511 </w:instrText>
        </w:r>
        <w:r>
          <w:rPr>
            <w:sz w:val="24"/>
            <w:szCs w:val="32"/>
          </w:rPr>
          <w:fldChar w:fldCharType="separate"/>
        </w:r>
        <w:r>
          <w:rPr>
            <w:sz w:val="24"/>
            <w:szCs w:val="32"/>
          </w:rPr>
          <w:t>15</w:t>
        </w:r>
        <w:r>
          <w:rPr>
            <w:sz w:val="24"/>
            <w:szCs w:val="32"/>
          </w:rPr>
          <w:fldChar w:fldCharType="end"/>
        </w:r>
      </w:hyperlink>
    </w:p>
    <w:p w:rsidR="00E617D7" w:rsidRDefault="002A30C3" w:rsidP="001F46E2">
      <w:pPr>
        <w:pStyle w:val="10"/>
        <w:tabs>
          <w:tab w:val="clear" w:pos="8296"/>
          <w:tab w:val="right" w:leader="dot" w:pos="8306"/>
        </w:tabs>
        <w:spacing w:beforeLines="50" w:before="156" w:afterLines="50" w:after="156"/>
        <w:rPr>
          <w:sz w:val="24"/>
          <w:szCs w:val="32"/>
        </w:rPr>
      </w:pPr>
      <w:hyperlink w:anchor="_Toc1871" w:history="1">
        <w:r>
          <w:rPr>
            <w:sz w:val="24"/>
            <w:szCs w:val="36"/>
          </w:rPr>
          <w:t>第八章</w:t>
        </w:r>
        <w:r>
          <w:rPr>
            <w:sz w:val="24"/>
            <w:szCs w:val="36"/>
          </w:rPr>
          <w:t xml:space="preserve"> </w:t>
        </w:r>
        <w:r>
          <w:rPr>
            <w:sz w:val="24"/>
            <w:szCs w:val="36"/>
          </w:rPr>
          <w:t>本期债券本息偿付情况</w:t>
        </w:r>
        <w:r>
          <w:rPr>
            <w:sz w:val="24"/>
            <w:szCs w:val="32"/>
          </w:rPr>
          <w:tab/>
        </w:r>
        <w:r>
          <w:rPr>
            <w:sz w:val="24"/>
            <w:szCs w:val="32"/>
          </w:rPr>
          <w:fldChar w:fldCharType="begin"/>
        </w:r>
        <w:r>
          <w:rPr>
            <w:sz w:val="24"/>
            <w:szCs w:val="32"/>
          </w:rPr>
          <w:instrText xml:space="preserve"> PAGEREF _Toc1871 </w:instrText>
        </w:r>
        <w:r>
          <w:rPr>
            <w:sz w:val="24"/>
            <w:szCs w:val="32"/>
          </w:rPr>
          <w:fldChar w:fldCharType="separate"/>
        </w:r>
        <w:r>
          <w:rPr>
            <w:sz w:val="24"/>
            <w:szCs w:val="32"/>
          </w:rPr>
          <w:t>16</w:t>
        </w:r>
        <w:r>
          <w:rPr>
            <w:sz w:val="24"/>
            <w:szCs w:val="32"/>
          </w:rPr>
          <w:fldChar w:fldCharType="end"/>
        </w:r>
      </w:hyperlink>
    </w:p>
    <w:p w:rsidR="00E617D7" w:rsidRDefault="002A30C3" w:rsidP="001F46E2">
      <w:pPr>
        <w:pStyle w:val="10"/>
        <w:tabs>
          <w:tab w:val="clear" w:pos="8296"/>
          <w:tab w:val="right" w:leader="dot" w:pos="8306"/>
        </w:tabs>
        <w:spacing w:beforeLines="50" w:before="156" w:afterLines="50" w:after="156"/>
        <w:rPr>
          <w:sz w:val="24"/>
          <w:szCs w:val="32"/>
        </w:rPr>
      </w:pPr>
      <w:hyperlink w:anchor="_Toc13908" w:history="1">
        <w:r>
          <w:rPr>
            <w:sz w:val="24"/>
            <w:szCs w:val="36"/>
          </w:rPr>
          <w:t>第九章</w:t>
        </w:r>
        <w:r>
          <w:rPr>
            <w:sz w:val="24"/>
            <w:szCs w:val="36"/>
          </w:rPr>
          <w:t xml:space="preserve"> </w:t>
        </w:r>
        <w:r>
          <w:rPr>
            <w:sz w:val="24"/>
            <w:szCs w:val="36"/>
          </w:rPr>
          <w:t>本期债券跟踪评级情况</w:t>
        </w:r>
        <w:r>
          <w:rPr>
            <w:sz w:val="24"/>
            <w:szCs w:val="32"/>
          </w:rPr>
          <w:tab/>
        </w:r>
        <w:r>
          <w:rPr>
            <w:sz w:val="24"/>
            <w:szCs w:val="32"/>
          </w:rPr>
          <w:fldChar w:fldCharType="begin"/>
        </w:r>
        <w:r>
          <w:rPr>
            <w:sz w:val="24"/>
            <w:szCs w:val="32"/>
          </w:rPr>
          <w:instrText xml:space="preserve"> PAGEREF _Toc13908 </w:instrText>
        </w:r>
        <w:r>
          <w:rPr>
            <w:sz w:val="24"/>
            <w:szCs w:val="32"/>
          </w:rPr>
          <w:fldChar w:fldCharType="separate"/>
        </w:r>
        <w:r>
          <w:rPr>
            <w:sz w:val="24"/>
            <w:szCs w:val="32"/>
          </w:rPr>
          <w:t>17</w:t>
        </w:r>
        <w:r>
          <w:rPr>
            <w:sz w:val="24"/>
            <w:szCs w:val="32"/>
          </w:rPr>
          <w:fldChar w:fldCharType="end"/>
        </w:r>
      </w:hyperlink>
    </w:p>
    <w:p w:rsidR="00E617D7" w:rsidRDefault="002A30C3" w:rsidP="001F46E2">
      <w:pPr>
        <w:pStyle w:val="10"/>
        <w:tabs>
          <w:tab w:val="clear" w:pos="8296"/>
          <w:tab w:val="right" w:leader="dot" w:pos="8306"/>
        </w:tabs>
        <w:spacing w:beforeLines="50" w:before="156" w:afterLines="50" w:after="156"/>
        <w:rPr>
          <w:sz w:val="24"/>
          <w:szCs w:val="32"/>
        </w:rPr>
      </w:pPr>
      <w:hyperlink w:anchor="_Toc13913" w:history="1">
        <w:r>
          <w:rPr>
            <w:sz w:val="24"/>
            <w:szCs w:val="36"/>
          </w:rPr>
          <w:t>第十章</w:t>
        </w:r>
        <w:r>
          <w:rPr>
            <w:sz w:val="24"/>
            <w:szCs w:val="36"/>
          </w:rPr>
          <w:t xml:space="preserve"> </w:t>
        </w:r>
        <w:r>
          <w:rPr>
            <w:sz w:val="24"/>
            <w:szCs w:val="36"/>
          </w:rPr>
          <w:t>发行人指定的负责本期债券相关事务专人的变动情况</w:t>
        </w:r>
        <w:r>
          <w:rPr>
            <w:sz w:val="24"/>
            <w:szCs w:val="32"/>
          </w:rPr>
          <w:tab/>
        </w:r>
        <w:r>
          <w:rPr>
            <w:sz w:val="24"/>
            <w:szCs w:val="32"/>
          </w:rPr>
          <w:fldChar w:fldCharType="begin"/>
        </w:r>
        <w:r>
          <w:rPr>
            <w:sz w:val="24"/>
            <w:szCs w:val="32"/>
          </w:rPr>
          <w:instrText xml:space="preserve"> PAGEREF _Toc13913 </w:instrText>
        </w:r>
        <w:r>
          <w:rPr>
            <w:sz w:val="24"/>
            <w:szCs w:val="32"/>
          </w:rPr>
          <w:fldChar w:fldCharType="separate"/>
        </w:r>
        <w:r>
          <w:rPr>
            <w:sz w:val="24"/>
            <w:szCs w:val="32"/>
          </w:rPr>
          <w:t>18</w:t>
        </w:r>
        <w:r>
          <w:rPr>
            <w:sz w:val="24"/>
            <w:szCs w:val="32"/>
          </w:rPr>
          <w:fldChar w:fldCharType="end"/>
        </w:r>
      </w:hyperlink>
    </w:p>
    <w:p w:rsidR="00E617D7" w:rsidRDefault="002A30C3" w:rsidP="001F46E2">
      <w:pPr>
        <w:pStyle w:val="10"/>
        <w:tabs>
          <w:tab w:val="clear" w:pos="8296"/>
          <w:tab w:val="right" w:leader="dot" w:pos="8306"/>
        </w:tabs>
        <w:spacing w:beforeLines="50" w:before="156" w:afterLines="50" w:after="156"/>
        <w:rPr>
          <w:sz w:val="24"/>
          <w:szCs w:val="32"/>
        </w:rPr>
      </w:pPr>
      <w:hyperlink w:anchor="_Toc15616" w:history="1">
        <w:r>
          <w:rPr>
            <w:sz w:val="24"/>
            <w:szCs w:val="36"/>
          </w:rPr>
          <w:t>第十一章</w:t>
        </w:r>
        <w:r>
          <w:rPr>
            <w:sz w:val="24"/>
            <w:szCs w:val="36"/>
          </w:rPr>
          <w:t xml:space="preserve"> </w:t>
        </w:r>
        <w:r>
          <w:rPr>
            <w:sz w:val="24"/>
            <w:szCs w:val="36"/>
          </w:rPr>
          <w:t>其他事项</w:t>
        </w:r>
        <w:r>
          <w:rPr>
            <w:sz w:val="24"/>
            <w:szCs w:val="32"/>
          </w:rPr>
          <w:tab/>
        </w:r>
        <w:r>
          <w:rPr>
            <w:sz w:val="24"/>
            <w:szCs w:val="32"/>
          </w:rPr>
          <w:fldChar w:fldCharType="begin"/>
        </w:r>
        <w:r>
          <w:rPr>
            <w:sz w:val="24"/>
            <w:szCs w:val="32"/>
          </w:rPr>
          <w:instrText xml:space="preserve"> PAGEREF _Toc15616 </w:instrText>
        </w:r>
        <w:r>
          <w:rPr>
            <w:sz w:val="24"/>
            <w:szCs w:val="32"/>
          </w:rPr>
          <w:fldChar w:fldCharType="separate"/>
        </w:r>
        <w:r>
          <w:rPr>
            <w:sz w:val="24"/>
            <w:szCs w:val="32"/>
          </w:rPr>
          <w:t>19</w:t>
        </w:r>
        <w:r>
          <w:rPr>
            <w:sz w:val="24"/>
            <w:szCs w:val="32"/>
          </w:rPr>
          <w:fldChar w:fldCharType="end"/>
        </w:r>
      </w:hyperlink>
    </w:p>
    <w:p w:rsidR="00E617D7" w:rsidRDefault="002A30C3" w:rsidP="001F46E2">
      <w:pPr>
        <w:pStyle w:val="Default"/>
        <w:spacing w:beforeLines="50" w:before="156" w:afterLines="50" w:after="156" w:line="360" w:lineRule="auto"/>
        <w:rPr>
          <w:rFonts w:ascii="Times New Roman" w:eastAsia="宋体" w:cs="Times New Roman"/>
        </w:rPr>
      </w:pPr>
      <w:r>
        <w:rPr>
          <w:rFonts w:ascii="Times New Roman" w:eastAsia="宋体" w:cs="Times New Roman"/>
        </w:rPr>
        <w:fldChar w:fldCharType="end"/>
      </w:r>
    </w:p>
    <w:p w:rsidR="00E617D7" w:rsidRDefault="002A30C3">
      <w:pPr>
        <w:widowControl/>
        <w:jc w:val="left"/>
        <w:rPr>
          <w:color w:val="000000"/>
          <w:kern w:val="0"/>
          <w:sz w:val="24"/>
        </w:rPr>
      </w:pPr>
      <w:r>
        <w:br w:type="page"/>
      </w:r>
    </w:p>
    <w:p w:rsidR="00E617D7" w:rsidRDefault="002A30C3">
      <w:pPr>
        <w:pStyle w:val="1"/>
        <w:jc w:val="center"/>
        <w:rPr>
          <w:sz w:val="28"/>
          <w:szCs w:val="28"/>
        </w:rPr>
      </w:pPr>
      <w:bookmarkStart w:id="4" w:name="_Toc8472"/>
      <w:r>
        <w:rPr>
          <w:sz w:val="28"/>
          <w:szCs w:val="28"/>
        </w:rPr>
        <w:lastRenderedPageBreak/>
        <w:t>重大事项提示</w:t>
      </w:r>
      <w:bookmarkEnd w:id="4"/>
    </w:p>
    <w:p w:rsidR="00E617D7" w:rsidRDefault="002A30C3">
      <w:pPr>
        <w:pStyle w:val="Default"/>
        <w:spacing w:beforeLines="50" w:before="156" w:afterLines="50" w:after="156" w:line="360" w:lineRule="auto"/>
        <w:ind w:firstLineChars="200" w:firstLine="480"/>
        <w:rPr>
          <w:rFonts w:ascii="Times New Roman" w:eastAsia="宋体" w:cs="Times New Roman"/>
        </w:rPr>
      </w:pPr>
      <w:r>
        <w:rPr>
          <w:rFonts w:ascii="Times New Roman" w:eastAsia="宋体" w:cs="Times New Roman"/>
        </w:rPr>
        <w:t>请投资者关注以下重大事项：</w:t>
      </w:r>
    </w:p>
    <w:p w:rsidR="00E617D7" w:rsidRDefault="002A30C3">
      <w:pPr>
        <w:pStyle w:val="Default"/>
        <w:spacing w:beforeLines="50" w:before="156" w:afterLines="50" w:after="156" w:line="360" w:lineRule="auto"/>
        <w:ind w:firstLineChars="200" w:firstLine="480"/>
        <w:rPr>
          <w:rFonts w:ascii="Times New Roman" w:eastAsia="宋体" w:cs="Times New Roman"/>
        </w:rPr>
      </w:pPr>
      <w:r>
        <w:rPr>
          <w:rFonts w:ascii="Times New Roman" w:eastAsia="宋体" w:cs="Times New Roman"/>
        </w:rPr>
        <w:t>2018</w:t>
      </w:r>
      <w:r>
        <w:rPr>
          <w:rFonts w:ascii="Times New Roman" w:eastAsia="宋体" w:cs="Times New Roman"/>
        </w:rPr>
        <w:t>年，随着供给侧结构性改革政策的深入推进，整个工业经济较</w:t>
      </w:r>
      <w:r>
        <w:rPr>
          <w:rFonts w:ascii="Times New Roman" w:eastAsia="宋体" w:cs="Times New Roman"/>
        </w:rPr>
        <w:t>2017</w:t>
      </w:r>
      <w:r>
        <w:rPr>
          <w:rFonts w:ascii="Times New Roman" w:eastAsia="宋体" w:cs="Times New Roman"/>
        </w:rPr>
        <w:t>年同期相比呈日趋平稳、稳中向好的发展态势，钢铁市场逐渐向好，</w:t>
      </w:r>
      <w:r>
        <w:rPr>
          <w:rFonts w:ascii="Times New Roman" w:eastAsia="宋体" w:cs="Times New Roman" w:hint="eastAsia"/>
        </w:rPr>
        <w:t>发行人</w:t>
      </w:r>
      <w:r>
        <w:rPr>
          <w:rFonts w:ascii="Times New Roman" w:eastAsia="宋体" w:cs="Times New Roman"/>
        </w:rPr>
        <w:t>作为与钢铁企业依附生存的企业也受到政策和钢铁市场利好影响</w:t>
      </w:r>
      <w:r>
        <w:rPr>
          <w:rFonts w:ascii="Times New Roman" w:eastAsia="宋体" w:cs="Times New Roman"/>
        </w:rPr>
        <w:t>。</w:t>
      </w:r>
      <w:r>
        <w:rPr>
          <w:rFonts w:ascii="Times New Roman" w:eastAsia="宋体" w:cs="Times New Roman"/>
        </w:rPr>
        <w:t>2018</w:t>
      </w:r>
      <w:r>
        <w:rPr>
          <w:rFonts w:ascii="Times New Roman" w:eastAsia="宋体" w:cs="Times New Roman"/>
        </w:rPr>
        <w:t>年，</w:t>
      </w:r>
      <w:r>
        <w:rPr>
          <w:rFonts w:ascii="Times New Roman" w:eastAsia="宋体" w:cs="Times New Roman" w:hint="eastAsia"/>
        </w:rPr>
        <w:t>发行人</w:t>
      </w:r>
      <w:r>
        <w:rPr>
          <w:rFonts w:ascii="Times New Roman" w:eastAsia="宋体" w:cs="Times New Roman"/>
        </w:rPr>
        <w:t>围绕年初制定的各项生产经营目标任务，细化措施，压实责任，深化改革，推进科技引领，营业收入、利润、资金、资本结构、资产运转效率等各项经营指标大幅好转，全面完成各项指标。</w:t>
      </w:r>
    </w:p>
    <w:p w:rsidR="00E617D7" w:rsidRDefault="002A30C3">
      <w:pPr>
        <w:pStyle w:val="Default"/>
        <w:spacing w:beforeLines="50" w:before="156" w:afterLines="50" w:after="156" w:line="360" w:lineRule="auto"/>
        <w:ind w:firstLineChars="200" w:firstLine="480"/>
        <w:rPr>
          <w:rFonts w:ascii="Times New Roman" w:eastAsia="宋体" w:cs="Times New Roman"/>
        </w:rPr>
      </w:pPr>
      <w:r>
        <w:rPr>
          <w:rFonts w:ascii="Times New Roman" w:eastAsia="宋体" w:cs="Times New Roman"/>
        </w:rPr>
        <w:t>发行人</w:t>
      </w:r>
      <w:r>
        <w:rPr>
          <w:rFonts w:ascii="Times New Roman" w:eastAsia="宋体" w:cs="Times New Roman"/>
        </w:rPr>
        <w:t>201</w:t>
      </w:r>
      <w:r>
        <w:rPr>
          <w:rFonts w:ascii="Times New Roman" w:eastAsia="宋体" w:cs="Times New Roman"/>
        </w:rPr>
        <w:t>8</w:t>
      </w:r>
      <w:r>
        <w:rPr>
          <w:rFonts w:ascii="Times New Roman" w:eastAsia="宋体" w:cs="Times New Roman"/>
        </w:rPr>
        <w:t>年度实现营业收入</w:t>
      </w:r>
      <w:r>
        <w:rPr>
          <w:rFonts w:ascii="Times New Roman" w:eastAsia="宋体" w:cs="Times New Roman"/>
        </w:rPr>
        <w:t>539,927.93</w:t>
      </w:r>
      <w:r>
        <w:rPr>
          <w:rFonts w:ascii="Times New Roman" w:eastAsia="宋体" w:cs="Times New Roman"/>
        </w:rPr>
        <w:t>万元，营业利润</w:t>
      </w:r>
      <w:r>
        <w:rPr>
          <w:rFonts w:ascii="Times New Roman" w:eastAsia="宋体" w:cs="Times New Roman"/>
        </w:rPr>
        <w:t>22,437.37</w:t>
      </w:r>
      <w:r>
        <w:rPr>
          <w:rFonts w:ascii="Times New Roman" w:eastAsia="宋体" w:cs="Times New Roman"/>
        </w:rPr>
        <w:t>万元，净利润</w:t>
      </w:r>
      <w:r>
        <w:rPr>
          <w:rFonts w:ascii="Times New Roman" w:eastAsia="宋体" w:cs="Times New Roman"/>
        </w:rPr>
        <w:t>19,700.26</w:t>
      </w:r>
      <w:r>
        <w:rPr>
          <w:rFonts w:ascii="Times New Roman" w:eastAsia="宋体" w:cs="Times New Roman"/>
        </w:rPr>
        <w:t>万元，归属于母公司所有者的净利润</w:t>
      </w:r>
      <w:r>
        <w:rPr>
          <w:rFonts w:ascii="Times New Roman" w:eastAsia="宋体" w:cs="Times New Roman"/>
        </w:rPr>
        <w:t>19,164.30</w:t>
      </w:r>
      <w:r>
        <w:rPr>
          <w:rFonts w:ascii="Times New Roman" w:eastAsia="宋体" w:cs="Times New Roman"/>
        </w:rPr>
        <w:t>万元</w:t>
      </w:r>
      <w:r>
        <w:rPr>
          <w:rFonts w:ascii="Times New Roman" w:eastAsia="宋体" w:cs="Times New Roman"/>
        </w:rPr>
        <w:t>，</w:t>
      </w:r>
      <w:r>
        <w:rPr>
          <w:rFonts w:ascii="Times New Roman" w:eastAsia="宋体" w:cs="Times New Roman"/>
        </w:rPr>
        <w:t>同比扭亏为盈。</w:t>
      </w:r>
    </w:p>
    <w:p w:rsidR="00E617D7" w:rsidRDefault="002A30C3">
      <w:pPr>
        <w:pStyle w:val="Default"/>
        <w:spacing w:beforeLines="50" w:before="156" w:afterLines="50" w:after="156" w:line="360" w:lineRule="auto"/>
        <w:ind w:firstLineChars="200" w:firstLine="560"/>
        <w:rPr>
          <w:rFonts w:ascii="Times New Roman" w:cs="Times New Roman"/>
          <w:b/>
          <w:bCs/>
          <w:kern w:val="44"/>
          <w:sz w:val="28"/>
          <w:szCs w:val="28"/>
        </w:rPr>
      </w:pPr>
      <w:r>
        <w:rPr>
          <w:rFonts w:ascii="Times New Roman" w:cs="Times New Roman"/>
          <w:sz w:val="28"/>
          <w:szCs w:val="28"/>
        </w:rPr>
        <w:br w:type="page"/>
      </w:r>
    </w:p>
    <w:p w:rsidR="00E617D7" w:rsidRDefault="002A30C3">
      <w:pPr>
        <w:pStyle w:val="1"/>
        <w:jc w:val="center"/>
        <w:rPr>
          <w:sz w:val="28"/>
          <w:szCs w:val="28"/>
        </w:rPr>
      </w:pPr>
      <w:bookmarkStart w:id="5" w:name="_Toc29219"/>
      <w:r>
        <w:rPr>
          <w:sz w:val="28"/>
          <w:szCs w:val="28"/>
        </w:rPr>
        <w:lastRenderedPageBreak/>
        <w:t>第一章</w:t>
      </w:r>
      <w:r>
        <w:rPr>
          <w:sz w:val="28"/>
          <w:szCs w:val="28"/>
        </w:rPr>
        <w:t xml:space="preserve"> </w:t>
      </w:r>
      <w:r>
        <w:rPr>
          <w:sz w:val="28"/>
          <w:szCs w:val="28"/>
        </w:rPr>
        <w:t>本期债券概要</w:t>
      </w:r>
      <w:bookmarkEnd w:id="5"/>
    </w:p>
    <w:p w:rsidR="00E617D7" w:rsidRDefault="002A30C3">
      <w:pPr>
        <w:autoSpaceDE w:val="0"/>
        <w:autoSpaceDN w:val="0"/>
        <w:adjustRightInd w:val="0"/>
        <w:spacing w:beforeLines="50" w:before="156" w:afterLines="50" w:after="156" w:line="360" w:lineRule="auto"/>
        <w:jc w:val="left"/>
        <w:rPr>
          <w:b/>
          <w:color w:val="000000"/>
          <w:kern w:val="0"/>
          <w:sz w:val="24"/>
        </w:rPr>
      </w:pPr>
      <w:r>
        <w:rPr>
          <w:b/>
          <w:color w:val="000000"/>
          <w:kern w:val="0"/>
          <w:sz w:val="24"/>
        </w:rPr>
        <w:t>一、债券名称</w:t>
      </w:r>
    </w:p>
    <w:p w:rsidR="00E617D7" w:rsidRDefault="002A30C3">
      <w:pPr>
        <w:autoSpaceDE w:val="0"/>
        <w:autoSpaceDN w:val="0"/>
        <w:adjustRightInd w:val="0"/>
        <w:spacing w:beforeLines="50" w:before="156" w:afterLines="50" w:after="156" w:line="360" w:lineRule="auto"/>
        <w:ind w:firstLineChars="200" w:firstLine="480"/>
        <w:jc w:val="left"/>
        <w:rPr>
          <w:color w:val="000000"/>
          <w:kern w:val="0"/>
          <w:sz w:val="24"/>
          <w:highlight w:val="yellow"/>
        </w:rPr>
      </w:pPr>
      <w:r>
        <w:rPr>
          <w:color w:val="000000"/>
          <w:kern w:val="0"/>
          <w:sz w:val="24"/>
        </w:rPr>
        <w:t>云南煤业能源股份有限公司</w:t>
      </w:r>
      <w:r>
        <w:rPr>
          <w:color w:val="000000"/>
          <w:kern w:val="0"/>
          <w:sz w:val="24"/>
        </w:rPr>
        <w:t>2013</w:t>
      </w:r>
      <w:r>
        <w:rPr>
          <w:color w:val="000000"/>
          <w:kern w:val="0"/>
          <w:sz w:val="24"/>
        </w:rPr>
        <w:t>年公司债券（以下简称</w:t>
      </w:r>
      <w:r>
        <w:rPr>
          <w:color w:val="000000"/>
          <w:kern w:val="0"/>
          <w:sz w:val="24"/>
        </w:rPr>
        <w:t>“</w:t>
      </w:r>
      <w:r>
        <w:rPr>
          <w:color w:val="000000"/>
          <w:kern w:val="0"/>
          <w:sz w:val="24"/>
        </w:rPr>
        <w:t>本期债券</w:t>
      </w:r>
      <w:r>
        <w:rPr>
          <w:color w:val="000000"/>
          <w:kern w:val="0"/>
          <w:sz w:val="24"/>
        </w:rPr>
        <w:t>”</w:t>
      </w:r>
      <w:r>
        <w:rPr>
          <w:color w:val="000000"/>
          <w:kern w:val="0"/>
          <w:sz w:val="24"/>
        </w:rPr>
        <w:t>）。</w:t>
      </w:r>
    </w:p>
    <w:p w:rsidR="00E617D7" w:rsidRDefault="002A30C3">
      <w:pPr>
        <w:autoSpaceDE w:val="0"/>
        <w:autoSpaceDN w:val="0"/>
        <w:adjustRightInd w:val="0"/>
        <w:spacing w:beforeLines="50" w:before="156" w:afterLines="50" w:after="156" w:line="360" w:lineRule="auto"/>
        <w:jc w:val="left"/>
        <w:rPr>
          <w:b/>
          <w:color w:val="000000"/>
          <w:kern w:val="0"/>
          <w:sz w:val="24"/>
        </w:rPr>
      </w:pPr>
      <w:r>
        <w:rPr>
          <w:b/>
          <w:color w:val="000000"/>
          <w:kern w:val="0"/>
          <w:sz w:val="24"/>
        </w:rPr>
        <w:t>二、核准文件和核准规模</w:t>
      </w:r>
    </w:p>
    <w:p w:rsidR="00E617D7" w:rsidRDefault="002A30C3">
      <w:pPr>
        <w:autoSpaceDE w:val="0"/>
        <w:autoSpaceDN w:val="0"/>
        <w:adjustRightInd w:val="0"/>
        <w:spacing w:beforeLines="50" w:before="156" w:afterLines="50" w:after="156" w:line="360" w:lineRule="auto"/>
        <w:ind w:firstLineChars="200" w:firstLine="480"/>
        <w:jc w:val="left"/>
        <w:rPr>
          <w:color w:val="000000"/>
          <w:kern w:val="0"/>
          <w:sz w:val="24"/>
        </w:rPr>
      </w:pPr>
      <w:r>
        <w:rPr>
          <w:color w:val="000000"/>
          <w:kern w:val="0"/>
          <w:sz w:val="24"/>
        </w:rPr>
        <w:t>本期债券业经中国证券监督管理委员会</w:t>
      </w:r>
      <w:r>
        <w:rPr>
          <w:color w:val="000000"/>
          <w:kern w:val="0"/>
          <w:sz w:val="24"/>
        </w:rPr>
        <w:t>“</w:t>
      </w:r>
      <w:r>
        <w:rPr>
          <w:color w:val="000000"/>
          <w:kern w:val="0"/>
          <w:sz w:val="24"/>
        </w:rPr>
        <w:t>证监许可</w:t>
      </w:r>
      <w:r>
        <w:rPr>
          <w:color w:val="000000"/>
          <w:kern w:val="0"/>
          <w:sz w:val="24"/>
        </w:rPr>
        <w:t>[2013]708</w:t>
      </w:r>
      <w:r>
        <w:rPr>
          <w:color w:val="000000"/>
          <w:kern w:val="0"/>
          <w:sz w:val="24"/>
        </w:rPr>
        <w:t>号</w:t>
      </w:r>
      <w:r>
        <w:rPr>
          <w:color w:val="000000"/>
          <w:kern w:val="0"/>
          <w:sz w:val="24"/>
        </w:rPr>
        <w:t>”</w:t>
      </w:r>
      <w:r>
        <w:rPr>
          <w:color w:val="000000"/>
          <w:kern w:val="0"/>
          <w:sz w:val="24"/>
        </w:rPr>
        <w:t>文件核准公开发行，核准规模为债券面值不超过人民币</w:t>
      </w:r>
      <w:r>
        <w:rPr>
          <w:color w:val="000000"/>
          <w:kern w:val="0"/>
          <w:sz w:val="24"/>
        </w:rPr>
        <w:t>8.8</w:t>
      </w:r>
      <w:r>
        <w:rPr>
          <w:color w:val="000000"/>
          <w:kern w:val="0"/>
          <w:sz w:val="24"/>
        </w:rPr>
        <w:t>亿元。</w:t>
      </w:r>
    </w:p>
    <w:p w:rsidR="00E617D7" w:rsidRDefault="002A30C3">
      <w:pPr>
        <w:autoSpaceDE w:val="0"/>
        <w:autoSpaceDN w:val="0"/>
        <w:adjustRightInd w:val="0"/>
        <w:spacing w:beforeLines="50" w:before="156" w:afterLines="50" w:after="156" w:line="360" w:lineRule="auto"/>
        <w:jc w:val="left"/>
        <w:rPr>
          <w:b/>
          <w:color w:val="000000"/>
          <w:kern w:val="0"/>
          <w:sz w:val="24"/>
        </w:rPr>
      </w:pPr>
      <w:r>
        <w:rPr>
          <w:b/>
          <w:color w:val="000000"/>
          <w:kern w:val="0"/>
          <w:sz w:val="24"/>
        </w:rPr>
        <w:t>三、债券简称及代码</w:t>
      </w:r>
    </w:p>
    <w:p w:rsidR="00E617D7" w:rsidRDefault="002A30C3">
      <w:pPr>
        <w:autoSpaceDE w:val="0"/>
        <w:autoSpaceDN w:val="0"/>
        <w:adjustRightInd w:val="0"/>
        <w:spacing w:beforeLines="50" w:before="156" w:afterLines="50" w:after="156" w:line="360" w:lineRule="auto"/>
        <w:ind w:firstLineChars="200" w:firstLine="480"/>
        <w:jc w:val="left"/>
        <w:rPr>
          <w:color w:val="000000"/>
          <w:kern w:val="0"/>
          <w:sz w:val="24"/>
        </w:rPr>
      </w:pPr>
      <w:r>
        <w:rPr>
          <w:color w:val="000000"/>
          <w:kern w:val="0"/>
          <w:sz w:val="24"/>
        </w:rPr>
        <w:t>13</w:t>
      </w:r>
      <w:r>
        <w:rPr>
          <w:color w:val="000000"/>
          <w:kern w:val="0"/>
          <w:sz w:val="24"/>
        </w:rPr>
        <w:t>云煤业、</w:t>
      </w:r>
      <w:r>
        <w:rPr>
          <w:color w:val="000000"/>
          <w:kern w:val="0"/>
          <w:sz w:val="24"/>
        </w:rPr>
        <w:t>122258</w:t>
      </w:r>
      <w:r>
        <w:rPr>
          <w:color w:val="000000"/>
          <w:kern w:val="0"/>
          <w:sz w:val="24"/>
        </w:rPr>
        <w:t>。</w:t>
      </w:r>
    </w:p>
    <w:p w:rsidR="00E617D7" w:rsidRDefault="002A30C3">
      <w:pPr>
        <w:autoSpaceDE w:val="0"/>
        <w:autoSpaceDN w:val="0"/>
        <w:adjustRightInd w:val="0"/>
        <w:spacing w:beforeLines="50" w:before="156" w:afterLines="50" w:after="156" w:line="360" w:lineRule="auto"/>
        <w:jc w:val="left"/>
        <w:rPr>
          <w:b/>
          <w:color w:val="000000"/>
          <w:kern w:val="0"/>
          <w:sz w:val="24"/>
        </w:rPr>
      </w:pPr>
      <w:r>
        <w:rPr>
          <w:b/>
          <w:color w:val="000000"/>
          <w:kern w:val="0"/>
          <w:sz w:val="24"/>
        </w:rPr>
        <w:t>四、发行主体</w:t>
      </w:r>
    </w:p>
    <w:p w:rsidR="00E617D7" w:rsidRDefault="002A30C3">
      <w:pPr>
        <w:autoSpaceDE w:val="0"/>
        <w:autoSpaceDN w:val="0"/>
        <w:adjustRightInd w:val="0"/>
        <w:spacing w:beforeLines="50" w:before="156" w:afterLines="50" w:after="156" w:line="360" w:lineRule="auto"/>
        <w:ind w:firstLineChars="200" w:firstLine="480"/>
        <w:jc w:val="left"/>
        <w:rPr>
          <w:color w:val="000000"/>
          <w:kern w:val="0"/>
          <w:sz w:val="24"/>
        </w:rPr>
      </w:pPr>
      <w:r>
        <w:rPr>
          <w:color w:val="000000"/>
          <w:kern w:val="0"/>
          <w:sz w:val="24"/>
        </w:rPr>
        <w:t>云南煤业能源股份有限公司。</w:t>
      </w:r>
    </w:p>
    <w:p w:rsidR="00E617D7" w:rsidRDefault="002A30C3">
      <w:pPr>
        <w:autoSpaceDE w:val="0"/>
        <w:autoSpaceDN w:val="0"/>
        <w:adjustRightInd w:val="0"/>
        <w:spacing w:beforeLines="50" w:before="156" w:afterLines="50" w:after="156" w:line="360" w:lineRule="auto"/>
        <w:jc w:val="left"/>
        <w:rPr>
          <w:b/>
          <w:color w:val="000000"/>
          <w:kern w:val="0"/>
          <w:sz w:val="24"/>
        </w:rPr>
      </w:pPr>
      <w:r>
        <w:rPr>
          <w:b/>
          <w:color w:val="000000"/>
          <w:kern w:val="0"/>
          <w:sz w:val="24"/>
        </w:rPr>
        <w:t>五、发行规模</w:t>
      </w:r>
    </w:p>
    <w:p w:rsidR="00E617D7" w:rsidRDefault="002A30C3">
      <w:pPr>
        <w:autoSpaceDE w:val="0"/>
        <w:autoSpaceDN w:val="0"/>
        <w:adjustRightInd w:val="0"/>
        <w:spacing w:beforeLines="50" w:before="156" w:afterLines="50" w:after="156" w:line="360" w:lineRule="auto"/>
        <w:ind w:firstLineChars="200" w:firstLine="480"/>
        <w:jc w:val="left"/>
        <w:rPr>
          <w:color w:val="000000"/>
          <w:kern w:val="0"/>
          <w:sz w:val="24"/>
        </w:rPr>
      </w:pPr>
      <w:r>
        <w:rPr>
          <w:color w:val="000000"/>
          <w:kern w:val="0"/>
          <w:sz w:val="24"/>
        </w:rPr>
        <w:t>2.5</w:t>
      </w:r>
      <w:r>
        <w:rPr>
          <w:color w:val="000000"/>
          <w:kern w:val="0"/>
          <w:sz w:val="24"/>
        </w:rPr>
        <w:t>亿元人民币。</w:t>
      </w:r>
    </w:p>
    <w:p w:rsidR="00E617D7" w:rsidRDefault="002A30C3">
      <w:pPr>
        <w:autoSpaceDE w:val="0"/>
        <w:autoSpaceDN w:val="0"/>
        <w:adjustRightInd w:val="0"/>
        <w:spacing w:beforeLines="50" w:before="156" w:afterLines="50" w:after="156" w:line="360" w:lineRule="auto"/>
        <w:jc w:val="left"/>
        <w:rPr>
          <w:b/>
          <w:color w:val="000000"/>
          <w:kern w:val="0"/>
          <w:sz w:val="24"/>
        </w:rPr>
      </w:pPr>
      <w:r>
        <w:rPr>
          <w:b/>
          <w:color w:val="000000"/>
          <w:kern w:val="0"/>
          <w:sz w:val="24"/>
        </w:rPr>
        <w:t>六、票面金额和发行价格</w:t>
      </w:r>
    </w:p>
    <w:p w:rsidR="00E617D7" w:rsidRDefault="002A30C3">
      <w:pPr>
        <w:autoSpaceDE w:val="0"/>
        <w:autoSpaceDN w:val="0"/>
        <w:adjustRightInd w:val="0"/>
        <w:spacing w:beforeLines="50" w:before="156" w:afterLines="50" w:after="156" w:line="360" w:lineRule="auto"/>
        <w:ind w:firstLineChars="200" w:firstLine="480"/>
        <w:jc w:val="left"/>
        <w:rPr>
          <w:color w:val="000000"/>
          <w:kern w:val="0"/>
          <w:sz w:val="24"/>
        </w:rPr>
      </w:pPr>
      <w:r>
        <w:rPr>
          <w:color w:val="000000"/>
          <w:kern w:val="0"/>
          <w:sz w:val="24"/>
        </w:rPr>
        <w:t>本期债券面值</w:t>
      </w:r>
      <w:r>
        <w:rPr>
          <w:color w:val="000000"/>
          <w:kern w:val="0"/>
          <w:sz w:val="24"/>
        </w:rPr>
        <w:t>100</w:t>
      </w:r>
      <w:r>
        <w:rPr>
          <w:color w:val="000000"/>
          <w:kern w:val="0"/>
          <w:sz w:val="24"/>
        </w:rPr>
        <w:t>元，按面值平价发行。</w:t>
      </w:r>
    </w:p>
    <w:p w:rsidR="00E617D7" w:rsidRDefault="002A30C3">
      <w:pPr>
        <w:autoSpaceDE w:val="0"/>
        <w:autoSpaceDN w:val="0"/>
        <w:adjustRightInd w:val="0"/>
        <w:spacing w:beforeLines="50" w:before="156" w:afterLines="50" w:after="156" w:line="360" w:lineRule="auto"/>
        <w:jc w:val="left"/>
        <w:rPr>
          <w:b/>
          <w:color w:val="000000"/>
          <w:kern w:val="0"/>
          <w:sz w:val="24"/>
        </w:rPr>
      </w:pPr>
      <w:r>
        <w:rPr>
          <w:b/>
          <w:color w:val="000000"/>
          <w:kern w:val="0"/>
          <w:sz w:val="24"/>
        </w:rPr>
        <w:t>七、债券期限</w:t>
      </w:r>
    </w:p>
    <w:p w:rsidR="00E617D7" w:rsidRDefault="002A30C3">
      <w:pPr>
        <w:autoSpaceDE w:val="0"/>
        <w:autoSpaceDN w:val="0"/>
        <w:adjustRightInd w:val="0"/>
        <w:spacing w:beforeLines="50" w:before="156" w:afterLines="50" w:after="156" w:line="360" w:lineRule="auto"/>
        <w:ind w:firstLineChars="200" w:firstLine="480"/>
        <w:jc w:val="left"/>
        <w:rPr>
          <w:color w:val="000000"/>
          <w:kern w:val="0"/>
          <w:sz w:val="24"/>
        </w:rPr>
      </w:pPr>
      <w:r>
        <w:rPr>
          <w:color w:val="000000"/>
          <w:kern w:val="0"/>
          <w:sz w:val="24"/>
        </w:rPr>
        <w:t>本期债券期限为</w:t>
      </w:r>
      <w:r>
        <w:rPr>
          <w:color w:val="000000"/>
          <w:kern w:val="0"/>
          <w:sz w:val="24"/>
        </w:rPr>
        <w:t>7</w:t>
      </w:r>
      <w:r>
        <w:rPr>
          <w:color w:val="000000"/>
          <w:kern w:val="0"/>
          <w:sz w:val="24"/>
        </w:rPr>
        <w:t>年，第</w:t>
      </w:r>
      <w:r>
        <w:rPr>
          <w:color w:val="000000"/>
          <w:kern w:val="0"/>
          <w:sz w:val="24"/>
        </w:rPr>
        <w:t>5</w:t>
      </w:r>
      <w:r>
        <w:rPr>
          <w:color w:val="000000"/>
          <w:kern w:val="0"/>
          <w:sz w:val="24"/>
        </w:rPr>
        <w:t>年末附发行人上调票面利率选择权和投资者回售选择权。</w:t>
      </w:r>
    </w:p>
    <w:p w:rsidR="00E617D7" w:rsidRDefault="002A30C3">
      <w:pPr>
        <w:autoSpaceDE w:val="0"/>
        <w:autoSpaceDN w:val="0"/>
        <w:adjustRightInd w:val="0"/>
        <w:spacing w:beforeLines="50" w:before="156" w:afterLines="50" w:after="156" w:line="360" w:lineRule="auto"/>
        <w:jc w:val="left"/>
        <w:rPr>
          <w:b/>
          <w:color w:val="000000"/>
          <w:kern w:val="0"/>
          <w:sz w:val="24"/>
        </w:rPr>
      </w:pPr>
      <w:r>
        <w:rPr>
          <w:b/>
          <w:color w:val="000000"/>
          <w:kern w:val="0"/>
          <w:sz w:val="24"/>
        </w:rPr>
        <w:t>八、债券年利率</w:t>
      </w:r>
    </w:p>
    <w:p w:rsidR="00E617D7" w:rsidRDefault="002A30C3">
      <w:pPr>
        <w:autoSpaceDE w:val="0"/>
        <w:autoSpaceDN w:val="0"/>
        <w:adjustRightInd w:val="0"/>
        <w:spacing w:beforeLines="50" w:before="156" w:afterLines="50" w:after="156" w:line="360" w:lineRule="auto"/>
        <w:ind w:firstLineChars="200" w:firstLine="480"/>
        <w:jc w:val="left"/>
        <w:rPr>
          <w:color w:val="000000"/>
          <w:kern w:val="0"/>
          <w:sz w:val="24"/>
        </w:rPr>
      </w:pPr>
      <w:r>
        <w:rPr>
          <w:color w:val="000000"/>
          <w:kern w:val="0"/>
          <w:sz w:val="24"/>
        </w:rPr>
        <w:t>本期债券票面利率为</w:t>
      </w:r>
      <w:r>
        <w:rPr>
          <w:color w:val="000000"/>
          <w:kern w:val="0"/>
          <w:sz w:val="24"/>
        </w:rPr>
        <w:t>7.80%</w:t>
      </w:r>
      <w:r>
        <w:rPr>
          <w:color w:val="000000"/>
          <w:kern w:val="0"/>
          <w:sz w:val="24"/>
        </w:rPr>
        <w:t>。</w:t>
      </w:r>
    </w:p>
    <w:p w:rsidR="00E617D7" w:rsidRDefault="002A30C3">
      <w:pPr>
        <w:autoSpaceDE w:val="0"/>
        <w:autoSpaceDN w:val="0"/>
        <w:adjustRightInd w:val="0"/>
        <w:spacing w:beforeLines="50" w:before="156" w:afterLines="50" w:after="156" w:line="360" w:lineRule="auto"/>
        <w:jc w:val="left"/>
        <w:rPr>
          <w:b/>
          <w:color w:val="000000"/>
          <w:kern w:val="0"/>
          <w:sz w:val="24"/>
        </w:rPr>
      </w:pPr>
      <w:r>
        <w:rPr>
          <w:b/>
          <w:color w:val="000000"/>
          <w:kern w:val="0"/>
          <w:sz w:val="24"/>
        </w:rPr>
        <w:t>九、还本付息方式</w:t>
      </w:r>
    </w:p>
    <w:p w:rsidR="00E617D7" w:rsidRDefault="002A30C3">
      <w:pPr>
        <w:autoSpaceDE w:val="0"/>
        <w:autoSpaceDN w:val="0"/>
        <w:adjustRightInd w:val="0"/>
        <w:spacing w:beforeLines="50" w:before="156" w:afterLines="50" w:after="156" w:line="360" w:lineRule="auto"/>
        <w:ind w:firstLineChars="200" w:firstLine="480"/>
        <w:jc w:val="left"/>
        <w:rPr>
          <w:color w:val="000000"/>
          <w:kern w:val="0"/>
          <w:sz w:val="24"/>
        </w:rPr>
      </w:pPr>
      <w:r>
        <w:rPr>
          <w:color w:val="000000"/>
          <w:kern w:val="0"/>
          <w:sz w:val="24"/>
        </w:rPr>
        <w:t>在本期债券的计息期限内，每年付息一次；若投资者放弃回售选择权，则至</w:t>
      </w:r>
      <w:r>
        <w:rPr>
          <w:color w:val="000000"/>
          <w:kern w:val="0"/>
          <w:sz w:val="24"/>
        </w:rPr>
        <w:t>2020</w:t>
      </w:r>
      <w:r>
        <w:rPr>
          <w:color w:val="000000"/>
          <w:kern w:val="0"/>
          <w:sz w:val="24"/>
        </w:rPr>
        <w:t>年</w:t>
      </w:r>
      <w:r>
        <w:rPr>
          <w:color w:val="000000"/>
          <w:kern w:val="0"/>
          <w:sz w:val="24"/>
        </w:rPr>
        <w:t>12</w:t>
      </w:r>
      <w:r>
        <w:rPr>
          <w:color w:val="000000"/>
          <w:kern w:val="0"/>
          <w:sz w:val="24"/>
        </w:rPr>
        <w:t>月</w:t>
      </w:r>
      <w:r>
        <w:rPr>
          <w:color w:val="000000"/>
          <w:kern w:val="0"/>
          <w:sz w:val="24"/>
        </w:rPr>
        <w:t>3</w:t>
      </w:r>
      <w:r>
        <w:rPr>
          <w:color w:val="000000"/>
          <w:kern w:val="0"/>
          <w:sz w:val="24"/>
        </w:rPr>
        <w:t>日一次兑付本金；若投资者部分或全部行使回售选择权，则回售部分债券的本金在</w:t>
      </w:r>
      <w:r>
        <w:rPr>
          <w:color w:val="000000"/>
          <w:kern w:val="0"/>
          <w:sz w:val="24"/>
        </w:rPr>
        <w:t>2018</w:t>
      </w:r>
      <w:r>
        <w:rPr>
          <w:color w:val="000000"/>
          <w:kern w:val="0"/>
          <w:sz w:val="24"/>
        </w:rPr>
        <w:t>年</w:t>
      </w:r>
      <w:r>
        <w:rPr>
          <w:color w:val="000000"/>
          <w:kern w:val="0"/>
          <w:sz w:val="24"/>
        </w:rPr>
        <w:t>12</w:t>
      </w:r>
      <w:r>
        <w:rPr>
          <w:color w:val="000000"/>
          <w:kern w:val="0"/>
          <w:sz w:val="24"/>
        </w:rPr>
        <w:t>月</w:t>
      </w:r>
      <w:r>
        <w:rPr>
          <w:color w:val="000000"/>
          <w:kern w:val="0"/>
          <w:sz w:val="24"/>
        </w:rPr>
        <w:t>3</w:t>
      </w:r>
      <w:r>
        <w:rPr>
          <w:color w:val="000000"/>
          <w:kern w:val="0"/>
          <w:sz w:val="24"/>
        </w:rPr>
        <w:t>日兑付，未回售部分债券的本金至</w:t>
      </w:r>
      <w:r>
        <w:rPr>
          <w:color w:val="000000"/>
          <w:kern w:val="0"/>
          <w:sz w:val="24"/>
        </w:rPr>
        <w:t>2020</w:t>
      </w:r>
      <w:r>
        <w:rPr>
          <w:color w:val="000000"/>
          <w:kern w:val="0"/>
          <w:sz w:val="24"/>
        </w:rPr>
        <w:t>年</w:t>
      </w:r>
      <w:r>
        <w:rPr>
          <w:color w:val="000000"/>
          <w:kern w:val="0"/>
          <w:sz w:val="24"/>
        </w:rPr>
        <w:t>12</w:t>
      </w:r>
      <w:r>
        <w:rPr>
          <w:color w:val="000000"/>
          <w:kern w:val="0"/>
          <w:sz w:val="24"/>
        </w:rPr>
        <w:t>月</w:t>
      </w:r>
      <w:r>
        <w:rPr>
          <w:color w:val="000000"/>
          <w:kern w:val="0"/>
          <w:sz w:val="24"/>
        </w:rPr>
        <w:t>3</w:t>
      </w:r>
      <w:r>
        <w:rPr>
          <w:color w:val="000000"/>
          <w:kern w:val="0"/>
          <w:sz w:val="24"/>
        </w:rPr>
        <w:t>日兑</w:t>
      </w:r>
      <w:r>
        <w:rPr>
          <w:color w:val="000000"/>
          <w:kern w:val="0"/>
          <w:sz w:val="24"/>
        </w:rPr>
        <w:lastRenderedPageBreak/>
        <w:t>付。如遇法定节假日或休息日，则顺延至其后的第</w:t>
      </w:r>
      <w:r>
        <w:rPr>
          <w:color w:val="000000"/>
          <w:kern w:val="0"/>
          <w:sz w:val="24"/>
        </w:rPr>
        <w:t>1</w:t>
      </w:r>
      <w:r>
        <w:rPr>
          <w:color w:val="000000"/>
          <w:kern w:val="0"/>
          <w:sz w:val="24"/>
        </w:rPr>
        <w:t>个交易日。本期债券的付息和本金兑付工作按照登记机构相关业务规则办理。</w:t>
      </w:r>
    </w:p>
    <w:p w:rsidR="00E617D7" w:rsidRDefault="002A30C3">
      <w:pPr>
        <w:autoSpaceDE w:val="0"/>
        <w:autoSpaceDN w:val="0"/>
        <w:adjustRightInd w:val="0"/>
        <w:spacing w:beforeLines="50" w:before="156" w:afterLines="50" w:after="156" w:line="360" w:lineRule="auto"/>
        <w:jc w:val="left"/>
        <w:rPr>
          <w:b/>
          <w:color w:val="000000"/>
          <w:kern w:val="0"/>
          <w:sz w:val="24"/>
        </w:rPr>
      </w:pPr>
      <w:r>
        <w:rPr>
          <w:b/>
          <w:color w:val="000000"/>
          <w:kern w:val="0"/>
          <w:sz w:val="24"/>
        </w:rPr>
        <w:t>十、付息日</w:t>
      </w:r>
    </w:p>
    <w:p w:rsidR="00E617D7" w:rsidRDefault="002A30C3">
      <w:pPr>
        <w:autoSpaceDE w:val="0"/>
        <w:autoSpaceDN w:val="0"/>
        <w:adjustRightInd w:val="0"/>
        <w:spacing w:beforeLines="50" w:before="156" w:afterLines="50" w:after="156" w:line="360" w:lineRule="auto"/>
        <w:ind w:firstLineChars="200" w:firstLine="480"/>
        <w:jc w:val="left"/>
        <w:rPr>
          <w:color w:val="000000"/>
          <w:kern w:val="0"/>
          <w:sz w:val="24"/>
        </w:rPr>
      </w:pPr>
      <w:r>
        <w:rPr>
          <w:color w:val="000000"/>
          <w:kern w:val="0"/>
          <w:sz w:val="24"/>
        </w:rPr>
        <w:t>在本期债券的计息期间内，每年</w:t>
      </w:r>
      <w:r>
        <w:rPr>
          <w:color w:val="000000"/>
          <w:kern w:val="0"/>
          <w:sz w:val="24"/>
        </w:rPr>
        <w:t>12</w:t>
      </w:r>
      <w:r>
        <w:rPr>
          <w:color w:val="000000"/>
          <w:kern w:val="0"/>
          <w:sz w:val="24"/>
        </w:rPr>
        <w:t>月</w:t>
      </w:r>
      <w:r>
        <w:rPr>
          <w:color w:val="000000"/>
          <w:kern w:val="0"/>
          <w:sz w:val="24"/>
        </w:rPr>
        <w:t>3</w:t>
      </w:r>
      <w:r>
        <w:rPr>
          <w:color w:val="000000"/>
          <w:kern w:val="0"/>
          <w:sz w:val="24"/>
        </w:rPr>
        <w:t>日为上一计息年度的付息日。如遇法定节假日或休息日，则顺延至其后的第</w:t>
      </w:r>
      <w:r>
        <w:rPr>
          <w:color w:val="000000"/>
          <w:kern w:val="0"/>
          <w:sz w:val="24"/>
        </w:rPr>
        <w:t>1</w:t>
      </w:r>
      <w:r>
        <w:rPr>
          <w:color w:val="000000"/>
          <w:kern w:val="0"/>
          <w:sz w:val="24"/>
        </w:rPr>
        <w:t>个交易日。</w:t>
      </w:r>
    </w:p>
    <w:p w:rsidR="00E617D7" w:rsidRDefault="002A30C3">
      <w:pPr>
        <w:autoSpaceDE w:val="0"/>
        <w:autoSpaceDN w:val="0"/>
        <w:adjustRightInd w:val="0"/>
        <w:spacing w:beforeLines="50" w:before="156" w:afterLines="50" w:after="156" w:line="360" w:lineRule="auto"/>
        <w:ind w:firstLineChars="200" w:firstLine="480"/>
        <w:jc w:val="left"/>
        <w:rPr>
          <w:color w:val="000000"/>
          <w:kern w:val="0"/>
          <w:sz w:val="24"/>
        </w:rPr>
      </w:pPr>
      <w:r>
        <w:rPr>
          <w:color w:val="000000"/>
          <w:kern w:val="0"/>
          <w:sz w:val="24"/>
        </w:rPr>
        <w:t>如投资者行使回售选择权，则其回售部分债券的</w:t>
      </w:r>
      <w:r>
        <w:rPr>
          <w:color w:val="000000"/>
          <w:kern w:val="0"/>
          <w:sz w:val="24"/>
        </w:rPr>
        <w:t>付息日为</w:t>
      </w:r>
      <w:r>
        <w:rPr>
          <w:color w:val="000000"/>
          <w:kern w:val="0"/>
          <w:sz w:val="24"/>
        </w:rPr>
        <w:t>2014</w:t>
      </w:r>
      <w:r>
        <w:rPr>
          <w:color w:val="000000"/>
          <w:kern w:val="0"/>
          <w:sz w:val="24"/>
        </w:rPr>
        <w:t>年至</w:t>
      </w:r>
      <w:r>
        <w:rPr>
          <w:color w:val="000000"/>
          <w:kern w:val="0"/>
          <w:sz w:val="24"/>
        </w:rPr>
        <w:t>2018</w:t>
      </w:r>
      <w:r>
        <w:rPr>
          <w:color w:val="000000"/>
          <w:kern w:val="0"/>
          <w:sz w:val="24"/>
        </w:rPr>
        <w:t>年每年的</w:t>
      </w:r>
      <w:r>
        <w:rPr>
          <w:color w:val="000000"/>
          <w:kern w:val="0"/>
          <w:sz w:val="24"/>
        </w:rPr>
        <w:t>12</w:t>
      </w:r>
      <w:r>
        <w:rPr>
          <w:color w:val="000000"/>
          <w:kern w:val="0"/>
          <w:sz w:val="24"/>
        </w:rPr>
        <w:t>月</w:t>
      </w:r>
      <w:r>
        <w:rPr>
          <w:color w:val="000000"/>
          <w:kern w:val="0"/>
          <w:sz w:val="24"/>
        </w:rPr>
        <w:t>3</w:t>
      </w:r>
      <w:r>
        <w:rPr>
          <w:color w:val="000000"/>
          <w:kern w:val="0"/>
          <w:sz w:val="24"/>
        </w:rPr>
        <w:t>日，如遇法定节假日或休息日，则顺延至其后的第</w:t>
      </w:r>
      <w:r>
        <w:rPr>
          <w:color w:val="000000"/>
          <w:kern w:val="0"/>
          <w:sz w:val="24"/>
        </w:rPr>
        <w:t>1</w:t>
      </w:r>
      <w:r>
        <w:rPr>
          <w:color w:val="000000"/>
          <w:kern w:val="0"/>
          <w:sz w:val="24"/>
        </w:rPr>
        <w:t>个交易日。</w:t>
      </w:r>
    </w:p>
    <w:p w:rsidR="00E617D7" w:rsidRDefault="002A30C3">
      <w:pPr>
        <w:autoSpaceDE w:val="0"/>
        <w:autoSpaceDN w:val="0"/>
        <w:adjustRightInd w:val="0"/>
        <w:spacing w:beforeLines="50" w:before="156" w:afterLines="50" w:after="156" w:line="360" w:lineRule="auto"/>
        <w:jc w:val="left"/>
        <w:rPr>
          <w:b/>
          <w:color w:val="000000"/>
          <w:kern w:val="0"/>
          <w:sz w:val="24"/>
        </w:rPr>
      </w:pPr>
      <w:r>
        <w:rPr>
          <w:b/>
          <w:color w:val="000000"/>
          <w:kern w:val="0"/>
          <w:sz w:val="24"/>
        </w:rPr>
        <w:t>十一、担保人及担保方式</w:t>
      </w:r>
    </w:p>
    <w:p w:rsidR="00E617D7" w:rsidRDefault="002A30C3">
      <w:pPr>
        <w:autoSpaceDE w:val="0"/>
        <w:autoSpaceDN w:val="0"/>
        <w:adjustRightInd w:val="0"/>
        <w:spacing w:beforeLines="50" w:before="156" w:afterLines="50" w:after="156" w:line="360" w:lineRule="auto"/>
        <w:ind w:firstLineChars="200" w:firstLine="480"/>
        <w:jc w:val="left"/>
        <w:rPr>
          <w:color w:val="000000"/>
          <w:kern w:val="0"/>
          <w:sz w:val="24"/>
        </w:rPr>
      </w:pPr>
      <w:r>
        <w:rPr>
          <w:color w:val="000000"/>
          <w:kern w:val="0"/>
          <w:sz w:val="24"/>
        </w:rPr>
        <w:t>本期债券由昆明钢铁控股有限公司提供全额无条件不可撤销的连带责任保证担保。</w:t>
      </w:r>
    </w:p>
    <w:p w:rsidR="00E617D7" w:rsidRDefault="002A30C3">
      <w:pPr>
        <w:autoSpaceDE w:val="0"/>
        <w:autoSpaceDN w:val="0"/>
        <w:adjustRightInd w:val="0"/>
        <w:spacing w:beforeLines="50" w:before="156" w:afterLines="50" w:after="156" w:line="360" w:lineRule="auto"/>
        <w:jc w:val="left"/>
        <w:rPr>
          <w:b/>
          <w:color w:val="000000"/>
          <w:kern w:val="0"/>
          <w:sz w:val="24"/>
        </w:rPr>
      </w:pPr>
      <w:r>
        <w:rPr>
          <w:b/>
          <w:color w:val="000000"/>
          <w:kern w:val="0"/>
          <w:sz w:val="24"/>
        </w:rPr>
        <w:t>十二、发行时信用级别</w:t>
      </w:r>
    </w:p>
    <w:p w:rsidR="00E617D7" w:rsidRDefault="002A30C3">
      <w:pPr>
        <w:autoSpaceDE w:val="0"/>
        <w:autoSpaceDN w:val="0"/>
        <w:adjustRightInd w:val="0"/>
        <w:spacing w:beforeLines="50" w:before="156" w:afterLines="50" w:after="156" w:line="360" w:lineRule="auto"/>
        <w:ind w:firstLineChars="200" w:firstLine="480"/>
        <w:jc w:val="left"/>
        <w:rPr>
          <w:color w:val="000000"/>
          <w:kern w:val="0"/>
          <w:sz w:val="24"/>
        </w:rPr>
      </w:pPr>
      <w:r>
        <w:rPr>
          <w:color w:val="000000"/>
          <w:kern w:val="0"/>
          <w:sz w:val="24"/>
        </w:rPr>
        <w:t>经联合信用评级有限公司（以下简称</w:t>
      </w:r>
      <w:r>
        <w:rPr>
          <w:color w:val="000000"/>
          <w:kern w:val="0"/>
          <w:sz w:val="24"/>
        </w:rPr>
        <w:t>“</w:t>
      </w:r>
      <w:r>
        <w:rPr>
          <w:color w:val="000000"/>
          <w:kern w:val="0"/>
          <w:sz w:val="24"/>
        </w:rPr>
        <w:t>联合评级</w:t>
      </w:r>
      <w:r>
        <w:rPr>
          <w:color w:val="000000"/>
          <w:kern w:val="0"/>
          <w:sz w:val="24"/>
        </w:rPr>
        <w:t>”</w:t>
      </w:r>
      <w:r>
        <w:rPr>
          <w:color w:val="000000"/>
          <w:kern w:val="0"/>
          <w:sz w:val="24"/>
        </w:rPr>
        <w:t>）综合评定，发行人主体信用等级为</w:t>
      </w:r>
      <w:r>
        <w:rPr>
          <w:color w:val="000000"/>
          <w:kern w:val="0"/>
          <w:sz w:val="24"/>
        </w:rPr>
        <w:t>AA</w:t>
      </w:r>
      <w:r>
        <w:rPr>
          <w:color w:val="000000"/>
          <w:kern w:val="0"/>
          <w:sz w:val="24"/>
        </w:rPr>
        <w:t>，本期债券信用等级为</w:t>
      </w:r>
      <w:r>
        <w:rPr>
          <w:color w:val="000000"/>
          <w:kern w:val="0"/>
          <w:sz w:val="24"/>
        </w:rPr>
        <w:t>AA+</w:t>
      </w:r>
      <w:r>
        <w:rPr>
          <w:color w:val="000000"/>
          <w:kern w:val="0"/>
          <w:sz w:val="24"/>
        </w:rPr>
        <w:t>。</w:t>
      </w:r>
    </w:p>
    <w:p w:rsidR="00E617D7" w:rsidRDefault="002A30C3">
      <w:pPr>
        <w:autoSpaceDE w:val="0"/>
        <w:autoSpaceDN w:val="0"/>
        <w:adjustRightInd w:val="0"/>
        <w:spacing w:beforeLines="50" w:before="156" w:afterLines="50" w:after="156" w:line="360" w:lineRule="auto"/>
        <w:jc w:val="left"/>
        <w:rPr>
          <w:b/>
          <w:color w:val="000000"/>
          <w:kern w:val="0"/>
          <w:sz w:val="24"/>
        </w:rPr>
      </w:pPr>
      <w:r>
        <w:rPr>
          <w:b/>
          <w:color w:val="000000"/>
          <w:kern w:val="0"/>
          <w:sz w:val="24"/>
        </w:rPr>
        <w:t>十三、债券受托管理人</w:t>
      </w:r>
    </w:p>
    <w:p w:rsidR="00E617D7" w:rsidRDefault="002A30C3">
      <w:pPr>
        <w:autoSpaceDE w:val="0"/>
        <w:autoSpaceDN w:val="0"/>
        <w:adjustRightInd w:val="0"/>
        <w:spacing w:beforeLines="50" w:before="156" w:afterLines="50" w:after="156" w:line="360" w:lineRule="auto"/>
        <w:ind w:firstLineChars="200" w:firstLine="480"/>
        <w:jc w:val="left"/>
        <w:rPr>
          <w:color w:val="000000"/>
          <w:kern w:val="0"/>
          <w:sz w:val="24"/>
        </w:rPr>
      </w:pPr>
      <w:r>
        <w:rPr>
          <w:color w:val="000000"/>
          <w:kern w:val="0"/>
          <w:sz w:val="24"/>
        </w:rPr>
        <w:t>本期债券的受托管理人为红</w:t>
      </w:r>
      <w:proofErr w:type="gramStart"/>
      <w:r>
        <w:rPr>
          <w:color w:val="000000"/>
          <w:kern w:val="0"/>
          <w:sz w:val="24"/>
        </w:rPr>
        <w:t>塔证券</w:t>
      </w:r>
      <w:proofErr w:type="gramEnd"/>
      <w:r>
        <w:rPr>
          <w:color w:val="000000"/>
          <w:kern w:val="0"/>
          <w:sz w:val="24"/>
        </w:rPr>
        <w:t>股份有限公司。</w:t>
      </w:r>
    </w:p>
    <w:p w:rsidR="00E617D7" w:rsidRDefault="00E617D7">
      <w:pPr>
        <w:autoSpaceDE w:val="0"/>
        <w:autoSpaceDN w:val="0"/>
        <w:adjustRightInd w:val="0"/>
        <w:spacing w:beforeLines="50" w:before="156" w:afterLines="50" w:after="156" w:line="360" w:lineRule="auto"/>
        <w:ind w:firstLineChars="200" w:firstLine="480"/>
        <w:jc w:val="left"/>
        <w:rPr>
          <w:color w:val="000000"/>
          <w:kern w:val="0"/>
          <w:sz w:val="24"/>
        </w:rPr>
      </w:pPr>
    </w:p>
    <w:p w:rsidR="00E617D7" w:rsidRDefault="002A30C3">
      <w:pPr>
        <w:widowControl/>
        <w:jc w:val="left"/>
        <w:rPr>
          <w:color w:val="000000"/>
          <w:kern w:val="0"/>
          <w:sz w:val="24"/>
        </w:rPr>
      </w:pPr>
      <w:r>
        <w:rPr>
          <w:color w:val="000000"/>
          <w:kern w:val="0"/>
          <w:sz w:val="24"/>
        </w:rPr>
        <w:br w:type="page"/>
      </w:r>
    </w:p>
    <w:p w:rsidR="00E617D7" w:rsidRDefault="002A30C3">
      <w:pPr>
        <w:pStyle w:val="1"/>
        <w:jc w:val="center"/>
        <w:rPr>
          <w:sz w:val="28"/>
          <w:szCs w:val="28"/>
        </w:rPr>
      </w:pPr>
      <w:bookmarkStart w:id="6" w:name="_Toc16627"/>
      <w:r>
        <w:rPr>
          <w:sz w:val="28"/>
          <w:szCs w:val="28"/>
        </w:rPr>
        <w:lastRenderedPageBreak/>
        <w:t>第二章</w:t>
      </w:r>
      <w:r>
        <w:rPr>
          <w:sz w:val="28"/>
          <w:szCs w:val="28"/>
        </w:rPr>
        <w:t xml:space="preserve"> </w:t>
      </w:r>
      <w:r>
        <w:rPr>
          <w:sz w:val="28"/>
          <w:szCs w:val="28"/>
        </w:rPr>
        <w:t>受托管理人职责履行情况</w:t>
      </w:r>
      <w:bookmarkEnd w:id="6"/>
    </w:p>
    <w:p w:rsidR="00E617D7" w:rsidRDefault="002A30C3">
      <w:pPr>
        <w:autoSpaceDE w:val="0"/>
        <w:autoSpaceDN w:val="0"/>
        <w:adjustRightInd w:val="0"/>
        <w:spacing w:beforeLines="50" w:before="156" w:afterLines="50" w:after="156" w:line="360" w:lineRule="auto"/>
        <w:ind w:firstLineChars="200" w:firstLine="480"/>
        <w:jc w:val="left"/>
        <w:rPr>
          <w:color w:val="000000"/>
          <w:kern w:val="0"/>
          <w:sz w:val="24"/>
        </w:rPr>
      </w:pPr>
      <w:r>
        <w:rPr>
          <w:color w:val="000000"/>
          <w:kern w:val="0"/>
          <w:sz w:val="24"/>
        </w:rPr>
        <w:t>红</w:t>
      </w:r>
      <w:proofErr w:type="gramStart"/>
      <w:r>
        <w:rPr>
          <w:color w:val="000000"/>
          <w:kern w:val="0"/>
          <w:sz w:val="24"/>
        </w:rPr>
        <w:t>塔证券</w:t>
      </w:r>
      <w:proofErr w:type="gramEnd"/>
      <w:r>
        <w:rPr>
          <w:color w:val="000000"/>
          <w:kern w:val="0"/>
          <w:sz w:val="24"/>
        </w:rPr>
        <w:t>作为本期债券的受托管理人，已按照《公司债券受托管理人执业行为准则》</w:t>
      </w:r>
      <w:r>
        <w:rPr>
          <w:color w:val="000000"/>
          <w:kern w:val="0"/>
          <w:sz w:val="24"/>
        </w:rPr>
        <w:t>、《债券受托管理协议》的相关要求，通过访谈、查阅并获取发行人相关资料等方式持续对发行人报告期内的财务状况、经营状况、资信状况、偿债保障措施实施情况等进行持续关注与监测，履行了受托管理人职责。</w:t>
      </w:r>
    </w:p>
    <w:p w:rsidR="00E617D7" w:rsidRDefault="00E617D7">
      <w:pPr>
        <w:autoSpaceDE w:val="0"/>
        <w:autoSpaceDN w:val="0"/>
        <w:adjustRightInd w:val="0"/>
        <w:spacing w:beforeLines="50" w:before="156" w:afterLines="50" w:after="156" w:line="360" w:lineRule="auto"/>
        <w:ind w:firstLineChars="200" w:firstLine="480"/>
        <w:jc w:val="left"/>
        <w:rPr>
          <w:color w:val="000000"/>
          <w:kern w:val="0"/>
          <w:sz w:val="24"/>
        </w:rPr>
      </w:pPr>
    </w:p>
    <w:p w:rsidR="00E617D7" w:rsidRDefault="00E617D7">
      <w:pPr>
        <w:autoSpaceDE w:val="0"/>
        <w:autoSpaceDN w:val="0"/>
        <w:adjustRightInd w:val="0"/>
        <w:spacing w:beforeLines="50" w:before="156" w:afterLines="50" w:after="156" w:line="360" w:lineRule="auto"/>
        <w:ind w:firstLineChars="200" w:firstLine="480"/>
        <w:jc w:val="left"/>
        <w:rPr>
          <w:color w:val="000000"/>
          <w:kern w:val="0"/>
          <w:sz w:val="24"/>
        </w:rPr>
        <w:sectPr w:rsidR="00E617D7">
          <w:pgSz w:w="11906" w:h="16838"/>
          <w:pgMar w:top="1440" w:right="1800" w:bottom="1440" w:left="1800" w:header="851" w:footer="850" w:gutter="0"/>
          <w:cols w:space="425"/>
          <w:docGrid w:type="lines" w:linePitch="312"/>
        </w:sectPr>
      </w:pPr>
    </w:p>
    <w:p w:rsidR="00E617D7" w:rsidRDefault="002A30C3">
      <w:pPr>
        <w:pStyle w:val="1"/>
        <w:jc w:val="center"/>
        <w:rPr>
          <w:sz w:val="28"/>
          <w:szCs w:val="28"/>
        </w:rPr>
      </w:pPr>
      <w:bookmarkStart w:id="7" w:name="_Toc22174"/>
      <w:r>
        <w:rPr>
          <w:sz w:val="28"/>
          <w:szCs w:val="28"/>
        </w:rPr>
        <w:lastRenderedPageBreak/>
        <w:t>第三章</w:t>
      </w:r>
      <w:r>
        <w:rPr>
          <w:sz w:val="28"/>
          <w:szCs w:val="28"/>
        </w:rPr>
        <w:t xml:space="preserve"> </w:t>
      </w:r>
      <w:r>
        <w:rPr>
          <w:sz w:val="28"/>
          <w:szCs w:val="28"/>
        </w:rPr>
        <w:t>发行人</w:t>
      </w:r>
      <w:r>
        <w:rPr>
          <w:sz w:val="28"/>
          <w:szCs w:val="28"/>
        </w:rPr>
        <w:t>201</w:t>
      </w:r>
      <w:r>
        <w:rPr>
          <w:sz w:val="28"/>
          <w:szCs w:val="28"/>
        </w:rPr>
        <w:t>8</w:t>
      </w:r>
      <w:r>
        <w:rPr>
          <w:sz w:val="28"/>
          <w:szCs w:val="28"/>
        </w:rPr>
        <w:t>年度经营和财务状况</w:t>
      </w:r>
      <w:bookmarkEnd w:id="7"/>
    </w:p>
    <w:p w:rsidR="00E617D7" w:rsidRDefault="002A30C3">
      <w:pPr>
        <w:autoSpaceDE w:val="0"/>
        <w:autoSpaceDN w:val="0"/>
        <w:adjustRightInd w:val="0"/>
        <w:spacing w:beforeLines="50" w:before="156" w:afterLines="50" w:after="156" w:line="360" w:lineRule="auto"/>
        <w:jc w:val="left"/>
        <w:rPr>
          <w:b/>
          <w:color w:val="000000"/>
          <w:kern w:val="0"/>
          <w:sz w:val="24"/>
        </w:rPr>
      </w:pPr>
      <w:r>
        <w:rPr>
          <w:b/>
          <w:color w:val="000000"/>
          <w:kern w:val="0"/>
          <w:sz w:val="24"/>
        </w:rPr>
        <w:t>一、发行人基本情况</w:t>
      </w:r>
      <w:r>
        <w:rPr>
          <w:b/>
          <w:color w:val="000000"/>
          <w:kern w:val="0"/>
          <w:sz w:val="24"/>
        </w:rPr>
        <w:t xml:space="preserve"> </w:t>
      </w:r>
    </w:p>
    <w:p w:rsidR="00E617D7" w:rsidRDefault="002A30C3">
      <w:pPr>
        <w:autoSpaceDE w:val="0"/>
        <w:autoSpaceDN w:val="0"/>
        <w:adjustRightInd w:val="0"/>
        <w:spacing w:before="50" w:afterLines="50" w:after="156" w:line="360" w:lineRule="auto"/>
        <w:ind w:firstLineChars="200" w:firstLine="480"/>
        <w:jc w:val="left"/>
        <w:rPr>
          <w:color w:val="000000"/>
          <w:kern w:val="0"/>
          <w:sz w:val="24"/>
        </w:rPr>
      </w:pPr>
      <w:r>
        <w:rPr>
          <w:color w:val="000000"/>
          <w:kern w:val="0"/>
          <w:sz w:val="24"/>
        </w:rPr>
        <w:t>中文名称：云南煤业能源股份有限公司</w:t>
      </w:r>
    </w:p>
    <w:p w:rsidR="00E617D7" w:rsidRDefault="002A30C3">
      <w:pPr>
        <w:autoSpaceDE w:val="0"/>
        <w:autoSpaceDN w:val="0"/>
        <w:adjustRightInd w:val="0"/>
        <w:spacing w:before="50" w:afterLines="50" w:after="156" w:line="360" w:lineRule="auto"/>
        <w:ind w:firstLineChars="200" w:firstLine="480"/>
        <w:jc w:val="left"/>
        <w:rPr>
          <w:color w:val="000000"/>
          <w:kern w:val="0"/>
          <w:sz w:val="24"/>
        </w:rPr>
      </w:pPr>
      <w:r>
        <w:rPr>
          <w:color w:val="000000"/>
          <w:kern w:val="0"/>
          <w:sz w:val="24"/>
        </w:rPr>
        <w:t>英文名称：</w:t>
      </w:r>
      <w:proofErr w:type="gramStart"/>
      <w:r>
        <w:rPr>
          <w:kern w:val="0"/>
          <w:sz w:val="24"/>
        </w:rPr>
        <w:t>Yunnan Coal and Energy Co., Ltd.</w:t>
      </w:r>
      <w:proofErr w:type="gramEnd"/>
    </w:p>
    <w:p w:rsidR="00E617D7" w:rsidRDefault="002A30C3">
      <w:pPr>
        <w:autoSpaceDE w:val="0"/>
        <w:autoSpaceDN w:val="0"/>
        <w:adjustRightInd w:val="0"/>
        <w:spacing w:before="50" w:afterLines="50" w:after="156" w:line="360" w:lineRule="auto"/>
        <w:ind w:firstLineChars="200" w:firstLine="480"/>
        <w:jc w:val="left"/>
        <w:rPr>
          <w:color w:val="000000"/>
          <w:kern w:val="0"/>
          <w:sz w:val="24"/>
        </w:rPr>
      </w:pPr>
      <w:r>
        <w:rPr>
          <w:color w:val="000000"/>
          <w:kern w:val="0"/>
          <w:sz w:val="24"/>
        </w:rPr>
        <w:t>法定代表人：彭伟</w:t>
      </w:r>
    </w:p>
    <w:p w:rsidR="00E617D7" w:rsidRDefault="002A30C3">
      <w:pPr>
        <w:autoSpaceDE w:val="0"/>
        <w:autoSpaceDN w:val="0"/>
        <w:adjustRightInd w:val="0"/>
        <w:spacing w:before="50" w:afterLines="50" w:after="156" w:line="360" w:lineRule="auto"/>
        <w:ind w:firstLineChars="200" w:firstLine="480"/>
        <w:jc w:val="left"/>
        <w:rPr>
          <w:color w:val="000000"/>
          <w:kern w:val="0"/>
          <w:sz w:val="24"/>
        </w:rPr>
      </w:pPr>
      <w:r>
        <w:rPr>
          <w:color w:val="000000"/>
          <w:kern w:val="0"/>
          <w:sz w:val="24"/>
        </w:rPr>
        <w:t>股票简称：</w:t>
      </w:r>
      <w:proofErr w:type="gramStart"/>
      <w:r>
        <w:rPr>
          <w:color w:val="000000"/>
          <w:kern w:val="0"/>
          <w:sz w:val="24"/>
        </w:rPr>
        <w:t>云煤能源</w:t>
      </w:r>
      <w:proofErr w:type="gramEnd"/>
    </w:p>
    <w:p w:rsidR="00E617D7" w:rsidRDefault="002A30C3">
      <w:pPr>
        <w:autoSpaceDE w:val="0"/>
        <w:autoSpaceDN w:val="0"/>
        <w:adjustRightInd w:val="0"/>
        <w:spacing w:before="50" w:afterLines="50" w:after="156" w:line="360" w:lineRule="auto"/>
        <w:ind w:firstLineChars="200" w:firstLine="480"/>
        <w:jc w:val="left"/>
        <w:rPr>
          <w:color w:val="000000"/>
          <w:kern w:val="0"/>
          <w:sz w:val="24"/>
        </w:rPr>
      </w:pPr>
      <w:r>
        <w:rPr>
          <w:color w:val="000000"/>
          <w:kern w:val="0"/>
          <w:sz w:val="24"/>
        </w:rPr>
        <w:t>证券代码：</w:t>
      </w:r>
      <w:r>
        <w:rPr>
          <w:color w:val="000000"/>
          <w:kern w:val="0"/>
          <w:sz w:val="24"/>
        </w:rPr>
        <w:t>600792</w:t>
      </w:r>
    </w:p>
    <w:p w:rsidR="00E617D7" w:rsidRDefault="002A30C3">
      <w:pPr>
        <w:autoSpaceDE w:val="0"/>
        <w:autoSpaceDN w:val="0"/>
        <w:adjustRightInd w:val="0"/>
        <w:spacing w:before="50" w:afterLines="50" w:after="156" w:line="360" w:lineRule="auto"/>
        <w:ind w:firstLineChars="200" w:firstLine="480"/>
        <w:jc w:val="left"/>
        <w:rPr>
          <w:color w:val="000000"/>
          <w:kern w:val="0"/>
          <w:sz w:val="24"/>
        </w:rPr>
      </w:pPr>
      <w:r>
        <w:rPr>
          <w:color w:val="000000"/>
          <w:kern w:val="0"/>
          <w:sz w:val="24"/>
        </w:rPr>
        <w:t>注册资本：</w:t>
      </w:r>
      <w:r>
        <w:rPr>
          <w:rFonts w:eastAsiaTheme="minorEastAsia"/>
          <w:kern w:val="0"/>
          <w:sz w:val="24"/>
        </w:rPr>
        <w:t>98,992.36</w:t>
      </w:r>
      <w:r>
        <w:rPr>
          <w:kern w:val="0"/>
          <w:sz w:val="24"/>
        </w:rPr>
        <w:t>万元</w:t>
      </w:r>
    </w:p>
    <w:p w:rsidR="00E617D7" w:rsidRDefault="002A30C3">
      <w:pPr>
        <w:autoSpaceDE w:val="0"/>
        <w:autoSpaceDN w:val="0"/>
        <w:adjustRightInd w:val="0"/>
        <w:spacing w:before="50" w:afterLines="50" w:after="156" w:line="360" w:lineRule="auto"/>
        <w:ind w:firstLineChars="200" w:firstLine="480"/>
        <w:jc w:val="left"/>
        <w:rPr>
          <w:color w:val="000000"/>
          <w:kern w:val="0"/>
          <w:sz w:val="24"/>
        </w:rPr>
      </w:pPr>
      <w:r>
        <w:rPr>
          <w:color w:val="000000"/>
          <w:kern w:val="0"/>
          <w:sz w:val="24"/>
        </w:rPr>
        <w:t>设立日期：</w:t>
      </w:r>
      <w:r>
        <w:rPr>
          <w:color w:val="000000"/>
          <w:kern w:val="0"/>
          <w:sz w:val="24"/>
        </w:rPr>
        <w:t>1997</w:t>
      </w:r>
      <w:r>
        <w:rPr>
          <w:color w:val="000000"/>
          <w:kern w:val="0"/>
          <w:sz w:val="24"/>
        </w:rPr>
        <w:t>年</w:t>
      </w:r>
      <w:r>
        <w:rPr>
          <w:color w:val="000000"/>
          <w:kern w:val="0"/>
          <w:sz w:val="24"/>
        </w:rPr>
        <w:t>1</w:t>
      </w:r>
      <w:r>
        <w:rPr>
          <w:color w:val="000000"/>
          <w:kern w:val="0"/>
          <w:sz w:val="24"/>
        </w:rPr>
        <w:t>月</w:t>
      </w:r>
      <w:r>
        <w:rPr>
          <w:color w:val="000000"/>
          <w:kern w:val="0"/>
          <w:sz w:val="24"/>
        </w:rPr>
        <w:t>20</w:t>
      </w:r>
      <w:r>
        <w:rPr>
          <w:color w:val="000000"/>
          <w:kern w:val="0"/>
          <w:sz w:val="24"/>
        </w:rPr>
        <w:t>日</w:t>
      </w:r>
    </w:p>
    <w:p w:rsidR="00E617D7" w:rsidRDefault="002A30C3">
      <w:pPr>
        <w:autoSpaceDE w:val="0"/>
        <w:autoSpaceDN w:val="0"/>
        <w:adjustRightInd w:val="0"/>
        <w:spacing w:before="50" w:afterLines="50" w:after="156" w:line="360" w:lineRule="auto"/>
        <w:ind w:firstLineChars="200" w:firstLine="480"/>
        <w:jc w:val="left"/>
        <w:rPr>
          <w:color w:val="000000"/>
          <w:kern w:val="0"/>
          <w:sz w:val="24"/>
        </w:rPr>
      </w:pPr>
      <w:r>
        <w:rPr>
          <w:color w:val="000000"/>
          <w:kern w:val="0"/>
          <w:sz w:val="24"/>
        </w:rPr>
        <w:t>注册地址：</w:t>
      </w:r>
      <w:r>
        <w:rPr>
          <w:kern w:val="0"/>
          <w:sz w:val="24"/>
        </w:rPr>
        <w:t>云南省昆明经开区经开路</w:t>
      </w:r>
      <w:r>
        <w:rPr>
          <w:kern w:val="0"/>
          <w:sz w:val="24"/>
        </w:rPr>
        <w:t>3</w:t>
      </w:r>
      <w:r>
        <w:rPr>
          <w:kern w:val="0"/>
          <w:sz w:val="24"/>
        </w:rPr>
        <w:t>号科技创新园</w:t>
      </w:r>
      <w:r>
        <w:rPr>
          <w:kern w:val="0"/>
          <w:sz w:val="24"/>
        </w:rPr>
        <w:t>A46</w:t>
      </w:r>
      <w:r>
        <w:rPr>
          <w:kern w:val="0"/>
          <w:sz w:val="24"/>
        </w:rPr>
        <w:t>室</w:t>
      </w:r>
    </w:p>
    <w:p w:rsidR="00E617D7" w:rsidRDefault="002A30C3">
      <w:pPr>
        <w:autoSpaceDE w:val="0"/>
        <w:autoSpaceDN w:val="0"/>
        <w:adjustRightInd w:val="0"/>
        <w:spacing w:before="50" w:afterLines="50" w:after="156" w:line="360" w:lineRule="auto"/>
        <w:ind w:firstLineChars="200" w:firstLine="480"/>
        <w:jc w:val="left"/>
        <w:rPr>
          <w:color w:val="000000"/>
          <w:kern w:val="0"/>
          <w:sz w:val="24"/>
        </w:rPr>
      </w:pPr>
      <w:r>
        <w:rPr>
          <w:color w:val="000000"/>
          <w:kern w:val="0"/>
          <w:sz w:val="24"/>
        </w:rPr>
        <w:t>办公地址：</w:t>
      </w:r>
      <w:r>
        <w:rPr>
          <w:kern w:val="0"/>
          <w:sz w:val="24"/>
        </w:rPr>
        <w:t>云南省昆明市西山区环城南路</w:t>
      </w:r>
      <w:r>
        <w:rPr>
          <w:kern w:val="0"/>
          <w:sz w:val="24"/>
        </w:rPr>
        <w:t>777</w:t>
      </w:r>
      <w:r>
        <w:rPr>
          <w:kern w:val="0"/>
          <w:sz w:val="24"/>
        </w:rPr>
        <w:t>号昆</w:t>
      </w:r>
      <w:proofErr w:type="gramStart"/>
      <w:r>
        <w:rPr>
          <w:kern w:val="0"/>
          <w:sz w:val="24"/>
        </w:rPr>
        <w:t>钢科技</w:t>
      </w:r>
      <w:proofErr w:type="gramEnd"/>
      <w:r>
        <w:rPr>
          <w:kern w:val="0"/>
          <w:sz w:val="24"/>
        </w:rPr>
        <w:t>大厦</w:t>
      </w:r>
      <w:r>
        <w:rPr>
          <w:kern w:val="0"/>
          <w:sz w:val="24"/>
        </w:rPr>
        <w:t>7</w:t>
      </w:r>
      <w:r>
        <w:rPr>
          <w:kern w:val="0"/>
          <w:sz w:val="24"/>
        </w:rPr>
        <w:t>楼</w:t>
      </w:r>
    </w:p>
    <w:p w:rsidR="00E617D7" w:rsidRDefault="002A30C3">
      <w:pPr>
        <w:autoSpaceDE w:val="0"/>
        <w:autoSpaceDN w:val="0"/>
        <w:adjustRightInd w:val="0"/>
        <w:spacing w:before="50" w:afterLines="50" w:after="156" w:line="360" w:lineRule="auto"/>
        <w:ind w:firstLineChars="200" w:firstLine="480"/>
        <w:jc w:val="left"/>
        <w:rPr>
          <w:color w:val="000000"/>
          <w:kern w:val="0"/>
          <w:sz w:val="24"/>
        </w:rPr>
      </w:pPr>
      <w:r>
        <w:rPr>
          <w:color w:val="000000"/>
          <w:kern w:val="0"/>
          <w:sz w:val="24"/>
        </w:rPr>
        <w:t>经营范围：焦炭、煤气、蒸汽、煤焦化工副产品的生产及销售（生产限分公司）；煤炭经营；矿产品、建筑材料、化工产品及原料（不含管理商品）的批发、零售、代购代销；燃气工程建筑施工，房屋建筑工程施工，市政公用工程施工；经营本企业自产产品及技术的出口业务；经营本企业生产所需的原辅材料、机械设备、仪器仪表、零配件及相关技术的进出口业务；企业管理；技术咨询服务。（国家限定公司</w:t>
      </w:r>
      <w:r>
        <w:rPr>
          <w:color w:val="000000"/>
          <w:kern w:val="0"/>
          <w:sz w:val="24"/>
        </w:rPr>
        <w:t>经营和国家禁止进出口的商品及技术除外）。（依法须经批准的项目，经相关部门批准后方可开展经营活动）</w:t>
      </w:r>
    </w:p>
    <w:p w:rsidR="00E617D7" w:rsidRDefault="002A30C3">
      <w:pPr>
        <w:autoSpaceDE w:val="0"/>
        <w:autoSpaceDN w:val="0"/>
        <w:adjustRightInd w:val="0"/>
        <w:spacing w:beforeLines="50" w:before="156" w:afterLines="50" w:after="156" w:line="360" w:lineRule="auto"/>
        <w:jc w:val="left"/>
        <w:rPr>
          <w:b/>
          <w:color w:val="000000"/>
          <w:kern w:val="0"/>
          <w:sz w:val="24"/>
        </w:rPr>
      </w:pPr>
      <w:r>
        <w:rPr>
          <w:b/>
          <w:color w:val="000000"/>
          <w:kern w:val="0"/>
          <w:sz w:val="24"/>
        </w:rPr>
        <w:t>二、发行人</w:t>
      </w:r>
      <w:r>
        <w:rPr>
          <w:b/>
          <w:color w:val="000000"/>
          <w:kern w:val="0"/>
          <w:sz w:val="24"/>
        </w:rPr>
        <w:t>201</w:t>
      </w:r>
      <w:r>
        <w:rPr>
          <w:b/>
          <w:color w:val="000000"/>
          <w:kern w:val="0"/>
          <w:sz w:val="24"/>
        </w:rPr>
        <w:t>8</w:t>
      </w:r>
      <w:r>
        <w:rPr>
          <w:b/>
          <w:color w:val="000000"/>
          <w:kern w:val="0"/>
          <w:sz w:val="24"/>
        </w:rPr>
        <w:t>年度经营情况</w:t>
      </w:r>
    </w:p>
    <w:p w:rsidR="00E617D7" w:rsidRDefault="002A30C3">
      <w:pPr>
        <w:autoSpaceDE w:val="0"/>
        <w:autoSpaceDN w:val="0"/>
        <w:adjustRightInd w:val="0"/>
        <w:spacing w:before="50" w:afterLines="50" w:after="156" w:line="360" w:lineRule="auto"/>
        <w:ind w:firstLineChars="200" w:firstLine="480"/>
        <w:jc w:val="left"/>
        <w:rPr>
          <w:color w:val="000000"/>
          <w:kern w:val="0"/>
          <w:sz w:val="24"/>
        </w:rPr>
      </w:pPr>
      <w:r>
        <w:rPr>
          <w:color w:val="000000"/>
          <w:kern w:val="0"/>
          <w:sz w:val="24"/>
        </w:rPr>
        <w:t>2018</w:t>
      </w:r>
      <w:r>
        <w:rPr>
          <w:color w:val="000000"/>
          <w:kern w:val="0"/>
          <w:sz w:val="24"/>
        </w:rPr>
        <w:t>年，随着供给侧结构性改革政策的深入推进，整个工业经济较</w:t>
      </w:r>
      <w:r>
        <w:rPr>
          <w:color w:val="000000"/>
          <w:kern w:val="0"/>
          <w:sz w:val="24"/>
        </w:rPr>
        <w:t>2017</w:t>
      </w:r>
      <w:r>
        <w:rPr>
          <w:color w:val="000000"/>
          <w:kern w:val="0"/>
          <w:sz w:val="24"/>
        </w:rPr>
        <w:t>年同期相比呈日趋平稳、稳中向好的发展态势，钢铁市场逐渐向好，公司作为与钢铁企业依附生存的企业也受到政策和钢铁市场利好影响</w:t>
      </w:r>
      <w:r>
        <w:rPr>
          <w:color w:val="000000"/>
          <w:kern w:val="0"/>
          <w:sz w:val="24"/>
        </w:rPr>
        <w:t>。</w:t>
      </w:r>
      <w:r>
        <w:rPr>
          <w:color w:val="000000"/>
          <w:kern w:val="0"/>
          <w:sz w:val="24"/>
        </w:rPr>
        <w:t>2018</w:t>
      </w:r>
      <w:r>
        <w:rPr>
          <w:color w:val="000000"/>
          <w:kern w:val="0"/>
          <w:sz w:val="24"/>
        </w:rPr>
        <w:t>年</w:t>
      </w:r>
      <w:r>
        <w:rPr>
          <w:color w:val="000000"/>
          <w:kern w:val="0"/>
          <w:sz w:val="24"/>
        </w:rPr>
        <w:t>，公司围绕年初制定的各项生产经营目标任务，细化措施，压实责任，深化改革，推进科技引领，营业收入、利润、资金、资本结构、资产运转效率等各项经营指标大幅好转，全</w:t>
      </w:r>
      <w:r>
        <w:rPr>
          <w:color w:val="000000"/>
          <w:kern w:val="0"/>
          <w:sz w:val="24"/>
        </w:rPr>
        <w:lastRenderedPageBreak/>
        <w:t>面完成各项指标。</w:t>
      </w:r>
      <w:r>
        <w:rPr>
          <w:color w:val="000000"/>
          <w:kern w:val="0"/>
          <w:sz w:val="24"/>
        </w:rPr>
        <w:t>2018</w:t>
      </w:r>
      <w:r>
        <w:rPr>
          <w:color w:val="000000"/>
          <w:kern w:val="0"/>
          <w:sz w:val="24"/>
        </w:rPr>
        <w:t>年</w:t>
      </w:r>
      <w:r>
        <w:rPr>
          <w:color w:val="000000"/>
          <w:kern w:val="0"/>
          <w:sz w:val="24"/>
        </w:rPr>
        <w:t>，公司主要工作如下：</w:t>
      </w:r>
    </w:p>
    <w:p w:rsidR="00E617D7" w:rsidRDefault="002A30C3">
      <w:pPr>
        <w:autoSpaceDE w:val="0"/>
        <w:autoSpaceDN w:val="0"/>
        <w:adjustRightInd w:val="0"/>
        <w:spacing w:before="50" w:afterLines="50" w:after="156" w:line="360" w:lineRule="auto"/>
        <w:ind w:firstLineChars="200" w:firstLine="480"/>
        <w:jc w:val="left"/>
        <w:rPr>
          <w:color w:val="000000"/>
          <w:kern w:val="0"/>
          <w:sz w:val="24"/>
        </w:rPr>
      </w:pPr>
      <w:r>
        <w:rPr>
          <w:color w:val="000000"/>
          <w:kern w:val="0"/>
          <w:sz w:val="24"/>
        </w:rPr>
        <w:t>1</w:t>
      </w:r>
      <w:r>
        <w:rPr>
          <w:color w:val="000000"/>
          <w:kern w:val="0"/>
          <w:sz w:val="24"/>
        </w:rPr>
        <w:t>、加强市场</w:t>
      </w:r>
      <w:proofErr w:type="gramStart"/>
      <w:r>
        <w:rPr>
          <w:color w:val="000000"/>
          <w:kern w:val="0"/>
          <w:sz w:val="24"/>
        </w:rPr>
        <w:t>研</w:t>
      </w:r>
      <w:proofErr w:type="gramEnd"/>
      <w:r>
        <w:rPr>
          <w:color w:val="000000"/>
          <w:kern w:val="0"/>
          <w:sz w:val="24"/>
        </w:rPr>
        <w:t>判，营销工作成绩显著。</w:t>
      </w:r>
    </w:p>
    <w:p w:rsidR="00E617D7" w:rsidRDefault="002A30C3">
      <w:pPr>
        <w:autoSpaceDE w:val="0"/>
        <w:autoSpaceDN w:val="0"/>
        <w:adjustRightInd w:val="0"/>
        <w:spacing w:before="50" w:afterLines="50" w:after="156" w:line="360" w:lineRule="auto"/>
        <w:ind w:firstLineChars="200" w:firstLine="480"/>
        <w:jc w:val="left"/>
        <w:rPr>
          <w:color w:val="000000"/>
          <w:kern w:val="0"/>
          <w:sz w:val="24"/>
        </w:rPr>
      </w:pPr>
      <w:r>
        <w:rPr>
          <w:color w:val="000000"/>
          <w:kern w:val="0"/>
          <w:sz w:val="24"/>
        </w:rPr>
        <w:t>2018</w:t>
      </w:r>
      <w:r>
        <w:rPr>
          <w:color w:val="000000"/>
          <w:kern w:val="0"/>
          <w:sz w:val="24"/>
        </w:rPr>
        <w:t>年初，成立了市场分析部，对煤焦钢按天收集市场数据，建立日通告、周汇报、节点分析的信息收集报告体系。市场部与</w:t>
      </w:r>
      <w:r>
        <w:rPr>
          <w:color w:val="000000"/>
          <w:kern w:val="0"/>
          <w:sz w:val="24"/>
        </w:rPr>
        <w:t>公司</w:t>
      </w:r>
      <w:r>
        <w:rPr>
          <w:color w:val="000000"/>
          <w:kern w:val="0"/>
          <w:sz w:val="24"/>
        </w:rPr>
        <w:t>贸易分公司做到信息互通，共同协作，偕同走访又互为独立，市场分析及</w:t>
      </w:r>
      <w:proofErr w:type="gramStart"/>
      <w:r>
        <w:rPr>
          <w:color w:val="000000"/>
          <w:kern w:val="0"/>
          <w:sz w:val="24"/>
        </w:rPr>
        <w:t>研</w:t>
      </w:r>
      <w:proofErr w:type="gramEnd"/>
      <w:r>
        <w:rPr>
          <w:color w:val="000000"/>
          <w:kern w:val="0"/>
          <w:sz w:val="24"/>
        </w:rPr>
        <w:t>判市场更加准确，形成了数据收集、整理、分析和应用等一套完整的方法，增强了价格趋势</w:t>
      </w:r>
      <w:proofErr w:type="gramStart"/>
      <w:r>
        <w:rPr>
          <w:color w:val="000000"/>
          <w:kern w:val="0"/>
          <w:sz w:val="24"/>
        </w:rPr>
        <w:t>研</w:t>
      </w:r>
      <w:proofErr w:type="gramEnd"/>
      <w:r>
        <w:rPr>
          <w:color w:val="000000"/>
          <w:kern w:val="0"/>
          <w:sz w:val="24"/>
        </w:rPr>
        <w:t>判的能力，为及时调整煤焦价格提供了详实的决策基础，做到了煤价调整优于和快于焦炭价格的调整幅度和速度。一年来，坚持原料煤采购以生产为中心，严格按照月度保供协议，实施保供数量兑现率与业绩考核挂钩，提升了采购计划执行率；通过实行差异化价格调整，进一步避免煤焦价格倒挂的情况发生。</w:t>
      </w:r>
    </w:p>
    <w:p w:rsidR="00E617D7" w:rsidRDefault="002A30C3">
      <w:pPr>
        <w:autoSpaceDE w:val="0"/>
        <w:autoSpaceDN w:val="0"/>
        <w:adjustRightInd w:val="0"/>
        <w:spacing w:before="50" w:afterLines="50" w:after="156" w:line="360" w:lineRule="auto"/>
        <w:ind w:firstLineChars="200" w:firstLine="480"/>
        <w:jc w:val="left"/>
        <w:rPr>
          <w:color w:val="000000"/>
          <w:kern w:val="0"/>
          <w:sz w:val="24"/>
        </w:rPr>
      </w:pPr>
      <w:r>
        <w:rPr>
          <w:color w:val="000000"/>
          <w:kern w:val="0"/>
          <w:sz w:val="24"/>
        </w:rPr>
        <w:t>2</w:t>
      </w:r>
      <w:r>
        <w:rPr>
          <w:color w:val="000000"/>
          <w:kern w:val="0"/>
          <w:sz w:val="24"/>
        </w:rPr>
        <w:t>、高质量、高水平、满负荷生产取得成效</w:t>
      </w:r>
    </w:p>
    <w:p w:rsidR="00E617D7" w:rsidRDefault="002A30C3">
      <w:pPr>
        <w:autoSpaceDE w:val="0"/>
        <w:autoSpaceDN w:val="0"/>
        <w:adjustRightInd w:val="0"/>
        <w:spacing w:before="50" w:afterLines="50" w:after="156" w:line="360" w:lineRule="auto"/>
        <w:ind w:firstLineChars="200" w:firstLine="480"/>
        <w:jc w:val="left"/>
        <w:rPr>
          <w:color w:val="000000"/>
          <w:kern w:val="0"/>
          <w:sz w:val="24"/>
        </w:rPr>
      </w:pPr>
      <w:r>
        <w:rPr>
          <w:color w:val="000000"/>
          <w:kern w:val="0"/>
          <w:sz w:val="24"/>
        </w:rPr>
        <w:t>焦炭质量明显改善。自</w:t>
      </w:r>
      <w:r>
        <w:rPr>
          <w:color w:val="000000"/>
          <w:kern w:val="0"/>
          <w:sz w:val="24"/>
        </w:rPr>
        <w:t>2016</w:t>
      </w:r>
      <w:r>
        <w:rPr>
          <w:color w:val="000000"/>
          <w:kern w:val="0"/>
          <w:sz w:val="24"/>
        </w:rPr>
        <w:t>年以来，公司焦炭质量出</w:t>
      </w:r>
      <w:r>
        <w:rPr>
          <w:color w:val="000000"/>
          <w:kern w:val="0"/>
          <w:sz w:val="24"/>
        </w:rPr>
        <w:t>现波动。为此，公司高度重视焦炭质量的提升，将</w:t>
      </w:r>
      <w:r>
        <w:rPr>
          <w:color w:val="000000"/>
          <w:kern w:val="0"/>
          <w:sz w:val="24"/>
        </w:rPr>
        <w:t>2018</w:t>
      </w:r>
      <w:r>
        <w:rPr>
          <w:color w:val="000000"/>
          <w:kern w:val="0"/>
          <w:sz w:val="24"/>
        </w:rPr>
        <w:t>年定为</w:t>
      </w:r>
      <w:r>
        <w:rPr>
          <w:color w:val="000000"/>
          <w:kern w:val="0"/>
          <w:sz w:val="24"/>
        </w:rPr>
        <w:t>“</w:t>
      </w:r>
      <w:r>
        <w:rPr>
          <w:color w:val="000000"/>
          <w:kern w:val="0"/>
          <w:sz w:val="24"/>
        </w:rPr>
        <w:t>焦炭质量提升年</w:t>
      </w:r>
      <w:r>
        <w:rPr>
          <w:color w:val="000000"/>
          <w:kern w:val="0"/>
          <w:sz w:val="24"/>
        </w:rPr>
        <w:t>”</w:t>
      </w:r>
      <w:r>
        <w:rPr>
          <w:color w:val="000000"/>
          <w:kern w:val="0"/>
          <w:sz w:val="24"/>
        </w:rPr>
        <w:t>，成立了以董事长为组长的焦炭质量攻关组。充分发挥科技引领的作用，通过采用快速岩相分析仪、全要素智能配煤技术、加强原料采购控制和焦炭售后服务等措施开展攻关。</w:t>
      </w:r>
    </w:p>
    <w:p w:rsidR="00E617D7" w:rsidRDefault="002A30C3">
      <w:pPr>
        <w:autoSpaceDE w:val="0"/>
        <w:autoSpaceDN w:val="0"/>
        <w:adjustRightInd w:val="0"/>
        <w:spacing w:before="50" w:afterLines="50" w:after="156" w:line="360" w:lineRule="auto"/>
        <w:ind w:firstLineChars="200" w:firstLine="480"/>
        <w:jc w:val="left"/>
        <w:rPr>
          <w:color w:val="000000"/>
          <w:kern w:val="0"/>
          <w:sz w:val="24"/>
        </w:rPr>
      </w:pPr>
      <w:r>
        <w:rPr>
          <w:color w:val="000000"/>
          <w:kern w:val="0"/>
          <w:sz w:val="24"/>
        </w:rPr>
        <w:t>2018</w:t>
      </w:r>
      <w:r>
        <w:rPr>
          <w:color w:val="000000"/>
          <w:kern w:val="0"/>
          <w:sz w:val="24"/>
        </w:rPr>
        <w:t>年坚持按高水平、满负荷组织生产。</w:t>
      </w:r>
      <w:r>
        <w:rPr>
          <w:color w:val="000000"/>
          <w:kern w:val="0"/>
          <w:sz w:val="24"/>
        </w:rPr>
        <w:t>公司</w:t>
      </w:r>
      <w:r>
        <w:rPr>
          <w:color w:val="000000"/>
          <w:kern w:val="0"/>
          <w:sz w:val="24"/>
        </w:rPr>
        <w:t>安宁分公司生产焦炭</w:t>
      </w:r>
      <w:r>
        <w:rPr>
          <w:color w:val="000000"/>
          <w:kern w:val="0"/>
          <w:sz w:val="24"/>
        </w:rPr>
        <w:t>103.7</w:t>
      </w:r>
      <w:r>
        <w:rPr>
          <w:color w:val="000000"/>
          <w:kern w:val="0"/>
          <w:sz w:val="24"/>
        </w:rPr>
        <w:t>万吨，同比增加</w:t>
      </w:r>
      <w:r>
        <w:rPr>
          <w:color w:val="000000"/>
          <w:kern w:val="0"/>
          <w:sz w:val="24"/>
        </w:rPr>
        <w:t>9.6</w:t>
      </w:r>
      <w:r>
        <w:rPr>
          <w:color w:val="000000"/>
          <w:kern w:val="0"/>
          <w:sz w:val="24"/>
        </w:rPr>
        <w:t>万吨，增幅</w:t>
      </w:r>
      <w:r>
        <w:rPr>
          <w:color w:val="000000"/>
          <w:kern w:val="0"/>
          <w:sz w:val="24"/>
        </w:rPr>
        <w:t>10.2%</w:t>
      </w:r>
      <w:r>
        <w:rPr>
          <w:color w:val="000000"/>
          <w:kern w:val="0"/>
          <w:sz w:val="24"/>
        </w:rPr>
        <w:t>；师宗煤焦化工有限公司</w:t>
      </w:r>
      <w:r>
        <w:rPr>
          <w:color w:val="000000"/>
          <w:kern w:val="0"/>
          <w:sz w:val="24"/>
        </w:rPr>
        <w:t>（</w:t>
      </w:r>
      <w:r>
        <w:rPr>
          <w:color w:val="000000"/>
          <w:kern w:val="0"/>
          <w:sz w:val="24"/>
        </w:rPr>
        <w:t>以下简称</w:t>
      </w:r>
      <w:r>
        <w:rPr>
          <w:color w:val="000000"/>
          <w:kern w:val="0"/>
          <w:sz w:val="24"/>
        </w:rPr>
        <w:t>“</w:t>
      </w:r>
      <w:r>
        <w:rPr>
          <w:color w:val="000000"/>
          <w:kern w:val="0"/>
          <w:sz w:val="24"/>
        </w:rPr>
        <w:t>师宗公司</w:t>
      </w:r>
      <w:r>
        <w:rPr>
          <w:color w:val="000000"/>
          <w:kern w:val="0"/>
          <w:sz w:val="24"/>
        </w:rPr>
        <w:t>”</w:t>
      </w:r>
      <w:r>
        <w:rPr>
          <w:color w:val="000000"/>
          <w:kern w:val="0"/>
          <w:sz w:val="24"/>
        </w:rPr>
        <w:t>）</w:t>
      </w:r>
      <w:r>
        <w:rPr>
          <w:color w:val="000000"/>
          <w:kern w:val="0"/>
          <w:sz w:val="24"/>
        </w:rPr>
        <w:t>生产焦炭</w:t>
      </w:r>
      <w:r>
        <w:rPr>
          <w:color w:val="000000"/>
          <w:kern w:val="0"/>
          <w:sz w:val="24"/>
        </w:rPr>
        <w:t>93</w:t>
      </w:r>
      <w:r>
        <w:rPr>
          <w:color w:val="000000"/>
          <w:kern w:val="0"/>
          <w:sz w:val="24"/>
        </w:rPr>
        <w:t>万吨，同比增加</w:t>
      </w:r>
      <w:r>
        <w:rPr>
          <w:color w:val="000000"/>
          <w:kern w:val="0"/>
          <w:sz w:val="24"/>
        </w:rPr>
        <w:t>14.4</w:t>
      </w:r>
      <w:r>
        <w:rPr>
          <w:color w:val="000000"/>
          <w:kern w:val="0"/>
          <w:sz w:val="24"/>
        </w:rPr>
        <w:t>万吨，增幅</w:t>
      </w:r>
      <w:r>
        <w:rPr>
          <w:color w:val="000000"/>
          <w:kern w:val="0"/>
          <w:sz w:val="24"/>
        </w:rPr>
        <w:t>18.3%</w:t>
      </w:r>
      <w:r>
        <w:rPr>
          <w:color w:val="000000"/>
          <w:kern w:val="0"/>
          <w:sz w:val="24"/>
        </w:rPr>
        <w:t>。</w:t>
      </w:r>
      <w:r>
        <w:rPr>
          <w:color w:val="000000"/>
          <w:kern w:val="0"/>
          <w:sz w:val="24"/>
        </w:rPr>
        <w:t>公司</w:t>
      </w:r>
      <w:r>
        <w:rPr>
          <w:color w:val="000000"/>
          <w:kern w:val="0"/>
          <w:sz w:val="24"/>
        </w:rPr>
        <w:t>安宁分公司和师宗公司实现了高产和稳产目标。</w:t>
      </w:r>
    </w:p>
    <w:p w:rsidR="00E617D7" w:rsidRDefault="002A30C3">
      <w:pPr>
        <w:autoSpaceDE w:val="0"/>
        <w:autoSpaceDN w:val="0"/>
        <w:adjustRightInd w:val="0"/>
        <w:spacing w:before="50" w:afterLines="50" w:after="156" w:line="360" w:lineRule="auto"/>
        <w:ind w:firstLineChars="200" w:firstLine="480"/>
        <w:jc w:val="left"/>
        <w:rPr>
          <w:color w:val="000000"/>
          <w:kern w:val="0"/>
          <w:sz w:val="24"/>
        </w:rPr>
      </w:pPr>
      <w:r>
        <w:rPr>
          <w:color w:val="000000"/>
          <w:kern w:val="0"/>
          <w:sz w:val="24"/>
        </w:rPr>
        <w:t>3</w:t>
      </w:r>
      <w:r>
        <w:rPr>
          <w:color w:val="000000"/>
          <w:kern w:val="0"/>
          <w:sz w:val="24"/>
        </w:rPr>
        <w:t>、夯实基础管理、</w:t>
      </w:r>
      <w:r>
        <w:rPr>
          <w:color w:val="000000"/>
          <w:kern w:val="0"/>
          <w:sz w:val="24"/>
        </w:rPr>
        <w:t>筑牢发展根基</w:t>
      </w:r>
    </w:p>
    <w:p w:rsidR="00E617D7" w:rsidRDefault="002A30C3">
      <w:pPr>
        <w:autoSpaceDE w:val="0"/>
        <w:autoSpaceDN w:val="0"/>
        <w:adjustRightInd w:val="0"/>
        <w:spacing w:before="50" w:afterLines="50" w:after="156" w:line="360" w:lineRule="auto"/>
        <w:ind w:firstLineChars="200" w:firstLine="480"/>
        <w:jc w:val="left"/>
        <w:rPr>
          <w:color w:val="000000"/>
          <w:kern w:val="0"/>
          <w:sz w:val="24"/>
        </w:rPr>
      </w:pPr>
      <w:r>
        <w:rPr>
          <w:color w:val="000000"/>
          <w:kern w:val="0"/>
          <w:sz w:val="24"/>
        </w:rPr>
        <w:t>为进一步强化内控基础管理、加强内控体系建设工作，公司组织对原有制度、办法等进行清理、完善和修订，共清理制度</w:t>
      </w:r>
      <w:r>
        <w:rPr>
          <w:color w:val="000000"/>
          <w:kern w:val="0"/>
          <w:sz w:val="24"/>
        </w:rPr>
        <w:t>276</w:t>
      </w:r>
      <w:r>
        <w:rPr>
          <w:color w:val="000000"/>
          <w:kern w:val="0"/>
          <w:sz w:val="24"/>
        </w:rPr>
        <w:t>个，完善修订制度</w:t>
      </w:r>
      <w:r>
        <w:rPr>
          <w:color w:val="000000"/>
          <w:kern w:val="0"/>
          <w:sz w:val="24"/>
        </w:rPr>
        <w:t>177</w:t>
      </w:r>
      <w:r>
        <w:rPr>
          <w:color w:val="000000"/>
          <w:kern w:val="0"/>
          <w:sz w:val="24"/>
        </w:rPr>
        <w:t>个，废止制度</w:t>
      </w:r>
      <w:r>
        <w:rPr>
          <w:color w:val="000000"/>
          <w:kern w:val="0"/>
          <w:sz w:val="24"/>
        </w:rPr>
        <w:t>35</w:t>
      </w:r>
      <w:r>
        <w:rPr>
          <w:color w:val="000000"/>
          <w:kern w:val="0"/>
          <w:sz w:val="24"/>
        </w:rPr>
        <w:t>个，</w:t>
      </w:r>
      <w:r>
        <w:rPr>
          <w:color w:val="000000"/>
          <w:kern w:val="0"/>
          <w:sz w:val="24"/>
        </w:rPr>
        <w:t>公司</w:t>
      </w:r>
      <w:r>
        <w:rPr>
          <w:color w:val="000000"/>
          <w:kern w:val="0"/>
          <w:sz w:val="24"/>
        </w:rPr>
        <w:t>制度建设进一步完善，已逐步形成用制度规范管人管事，干部的风险防控能力和执行力得到加强，工作效率、服务质量进一步提高。</w:t>
      </w:r>
    </w:p>
    <w:p w:rsidR="00E617D7" w:rsidRDefault="002A30C3">
      <w:pPr>
        <w:autoSpaceDE w:val="0"/>
        <w:autoSpaceDN w:val="0"/>
        <w:adjustRightInd w:val="0"/>
        <w:spacing w:before="50" w:afterLines="50" w:after="156" w:line="360" w:lineRule="auto"/>
        <w:ind w:firstLineChars="200" w:firstLine="480"/>
        <w:jc w:val="left"/>
        <w:rPr>
          <w:color w:val="000000"/>
          <w:kern w:val="0"/>
          <w:sz w:val="24"/>
        </w:rPr>
      </w:pPr>
      <w:r>
        <w:rPr>
          <w:color w:val="000000"/>
          <w:kern w:val="0"/>
          <w:sz w:val="24"/>
        </w:rPr>
        <w:t>进一步强化业绩导向分配制度。全面实行</w:t>
      </w:r>
      <w:r>
        <w:rPr>
          <w:color w:val="000000"/>
          <w:kern w:val="0"/>
          <w:sz w:val="24"/>
        </w:rPr>
        <w:t>“</w:t>
      </w:r>
      <w:r>
        <w:rPr>
          <w:color w:val="000000"/>
          <w:kern w:val="0"/>
          <w:sz w:val="24"/>
        </w:rPr>
        <w:t>一厂</w:t>
      </w:r>
      <w:proofErr w:type="gramStart"/>
      <w:r>
        <w:rPr>
          <w:color w:val="000000"/>
          <w:kern w:val="0"/>
          <w:sz w:val="24"/>
        </w:rPr>
        <w:t>一</w:t>
      </w:r>
      <w:proofErr w:type="gramEnd"/>
      <w:r>
        <w:rPr>
          <w:color w:val="000000"/>
          <w:kern w:val="0"/>
          <w:sz w:val="24"/>
        </w:rPr>
        <w:t>策</w:t>
      </w:r>
      <w:r>
        <w:rPr>
          <w:color w:val="000000"/>
          <w:kern w:val="0"/>
          <w:sz w:val="24"/>
        </w:rPr>
        <w:t>”</w:t>
      </w:r>
      <w:r>
        <w:rPr>
          <w:color w:val="000000"/>
          <w:kern w:val="0"/>
          <w:sz w:val="24"/>
        </w:rPr>
        <w:t>的经营业绩考核合同，抓住</w:t>
      </w:r>
      <w:r>
        <w:rPr>
          <w:color w:val="000000"/>
          <w:kern w:val="0"/>
          <w:sz w:val="24"/>
        </w:rPr>
        <w:t>“</w:t>
      </w:r>
      <w:r>
        <w:rPr>
          <w:color w:val="000000"/>
          <w:kern w:val="0"/>
          <w:sz w:val="24"/>
        </w:rPr>
        <w:t>关键少数</w:t>
      </w:r>
      <w:r>
        <w:rPr>
          <w:color w:val="000000"/>
          <w:kern w:val="0"/>
          <w:sz w:val="24"/>
        </w:rPr>
        <w:t>”</w:t>
      </w:r>
      <w:r>
        <w:rPr>
          <w:color w:val="000000"/>
          <w:kern w:val="0"/>
          <w:sz w:val="24"/>
        </w:rPr>
        <w:t>，年度经营业绩合同指标紧紧围绕目标任务、重点工作进行分解和落实，在班子成员及下属经营单位层层签订经营业绩合同，形成薪酬水平</w:t>
      </w:r>
      <w:proofErr w:type="gramStart"/>
      <w:r>
        <w:rPr>
          <w:color w:val="000000"/>
          <w:kern w:val="0"/>
          <w:sz w:val="24"/>
        </w:rPr>
        <w:t>随经</w:t>
      </w:r>
      <w:r>
        <w:rPr>
          <w:color w:val="000000"/>
          <w:kern w:val="0"/>
          <w:sz w:val="24"/>
        </w:rPr>
        <w:lastRenderedPageBreak/>
        <w:t>营</w:t>
      </w:r>
      <w:proofErr w:type="gramEnd"/>
      <w:r>
        <w:rPr>
          <w:color w:val="000000"/>
          <w:kern w:val="0"/>
          <w:sz w:val="24"/>
        </w:rPr>
        <w:t>效益变动而</w:t>
      </w:r>
      <w:r>
        <w:rPr>
          <w:color w:val="000000"/>
          <w:kern w:val="0"/>
          <w:sz w:val="24"/>
        </w:rPr>
        <w:t>变动的考核激励机制。</w:t>
      </w:r>
    </w:p>
    <w:p w:rsidR="00E617D7" w:rsidRDefault="002A30C3">
      <w:pPr>
        <w:autoSpaceDE w:val="0"/>
        <w:autoSpaceDN w:val="0"/>
        <w:adjustRightInd w:val="0"/>
        <w:spacing w:before="50" w:afterLines="50" w:after="156" w:line="360" w:lineRule="auto"/>
        <w:ind w:firstLineChars="200" w:firstLine="480"/>
        <w:jc w:val="left"/>
        <w:rPr>
          <w:color w:val="000000"/>
          <w:kern w:val="0"/>
          <w:sz w:val="24"/>
        </w:rPr>
      </w:pPr>
      <w:r>
        <w:rPr>
          <w:color w:val="000000"/>
          <w:kern w:val="0"/>
          <w:sz w:val="24"/>
        </w:rPr>
        <w:t>4</w:t>
      </w:r>
      <w:r>
        <w:rPr>
          <w:color w:val="000000"/>
          <w:kern w:val="0"/>
          <w:sz w:val="24"/>
        </w:rPr>
        <w:t>、安全环保消防持续保持稳定</w:t>
      </w:r>
    </w:p>
    <w:p w:rsidR="00E617D7" w:rsidRDefault="002A30C3">
      <w:pPr>
        <w:autoSpaceDE w:val="0"/>
        <w:autoSpaceDN w:val="0"/>
        <w:adjustRightInd w:val="0"/>
        <w:spacing w:before="50" w:afterLines="50" w:after="156" w:line="360" w:lineRule="auto"/>
        <w:ind w:firstLineChars="200" w:firstLine="480"/>
        <w:jc w:val="left"/>
        <w:rPr>
          <w:color w:val="000000"/>
          <w:kern w:val="0"/>
          <w:sz w:val="24"/>
        </w:rPr>
      </w:pPr>
      <w:r>
        <w:rPr>
          <w:color w:val="000000"/>
          <w:kern w:val="0"/>
          <w:sz w:val="24"/>
        </w:rPr>
        <w:t>牢固树立</w:t>
      </w:r>
      <w:r>
        <w:rPr>
          <w:color w:val="000000"/>
          <w:kern w:val="0"/>
          <w:sz w:val="24"/>
        </w:rPr>
        <w:t>“</w:t>
      </w:r>
      <w:r>
        <w:rPr>
          <w:color w:val="000000"/>
          <w:kern w:val="0"/>
          <w:sz w:val="24"/>
        </w:rPr>
        <w:t>隐患就是事故</w:t>
      </w:r>
      <w:r>
        <w:rPr>
          <w:color w:val="000000"/>
          <w:kern w:val="0"/>
          <w:sz w:val="24"/>
        </w:rPr>
        <w:t>”</w:t>
      </w:r>
      <w:r>
        <w:rPr>
          <w:color w:val="000000"/>
          <w:kern w:val="0"/>
          <w:sz w:val="24"/>
        </w:rPr>
        <w:t>的理念，严格落实</w:t>
      </w:r>
      <w:r>
        <w:rPr>
          <w:color w:val="000000"/>
          <w:kern w:val="0"/>
          <w:sz w:val="24"/>
        </w:rPr>
        <w:t>“</w:t>
      </w:r>
      <w:r>
        <w:rPr>
          <w:color w:val="000000"/>
          <w:kern w:val="0"/>
          <w:sz w:val="24"/>
        </w:rPr>
        <w:t>四抓一压</w:t>
      </w:r>
      <w:r>
        <w:rPr>
          <w:color w:val="000000"/>
          <w:kern w:val="0"/>
          <w:sz w:val="24"/>
        </w:rPr>
        <w:t>”</w:t>
      </w:r>
      <w:r>
        <w:rPr>
          <w:color w:val="000000"/>
          <w:kern w:val="0"/>
          <w:sz w:val="24"/>
        </w:rPr>
        <w:t>要求，加大对安全环保消防的费用投入。</w:t>
      </w:r>
      <w:r>
        <w:rPr>
          <w:rFonts w:hint="eastAsia"/>
          <w:color w:val="000000"/>
          <w:kern w:val="0"/>
          <w:sz w:val="24"/>
        </w:rPr>
        <w:t>2018</w:t>
      </w:r>
      <w:r>
        <w:rPr>
          <w:color w:val="000000"/>
          <w:kern w:val="0"/>
          <w:sz w:val="24"/>
        </w:rPr>
        <w:t>年，实现了重伤及以上事故为零、一般及以上环境污染事故为零和一般及以上火灾事故为零的奋斗目标。师宗公司焦炉烟气脱硫脱硝项目投产运行，有效降低环保风险，公司荣获</w:t>
      </w:r>
      <w:r>
        <w:rPr>
          <w:color w:val="000000"/>
          <w:kern w:val="0"/>
          <w:sz w:val="24"/>
        </w:rPr>
        <w:t>2018</w:t>
      </w:r>
      <w:r>
        <w:rPr>
          <w:color w:val="000000"/>
          <w:kern w:val="0"/>
          <w:sz w:val="24"/>
        </w:rPr>
        <w:t>年度昆明钢铁控股有限公司消防先进集体</w:t>
      </w:r>
      <w:r>
        <w:rPr>
          <w:color w:val="000000"/>
          <w:kern w:val="0"/>
          <w:sz w:val="24"/>
        </w:rPr>
        <w:t>，</w:t>
      </w:r>
      <w:r>
        <w:rPr>
          <w:color w:val="000000"/>
          <w:kern w:val="0"/>
          <w:sz w:val="24"/>
        </w:rPr>
        <w:t>云南省</w:t>
      </w:r>
      <w:r>
        <w:rPr>
          <w:color w:val="000000"/>
          <w:kern w:val="0"/>
          <w:sz w:val="24"/>
        </w:rPr>
        <w:t>“</w:t>
      </w:r>
      <w:r>
        <w:rPr>
          <w:color w:val="000000"/>
          <w:kern w:val="0"/>
          <w:sz w:val="24"/>
        </w:rPr>
        <w:t>安康杯</w:t>
      </w:r>
      <w:r>
        <w:rPr>
          <w:color w:val="000000"/>
          <w:kern w:val="0"/>
          <w:sz w:val="24"/>
        </w:rPr>
        <w:t>”</w:t>
      </w:r>
      <w:r>
        <w:rPr>
          <w:color w:val="000000"/>
          <w:kern w:val="0"/>
          <w:sz w:val="24"/>
        </w:rPr>
        <w:t>竞赛优胜单位。</w:t>
      </w:r>
    </w:p>
    <w:p w:rsidR="00E617D7" w:rsidRDefault="002A30C3">
      <w:pPr>
        <w:autoSpaceDE w:val="0"/>
        <w:autoSpaceDN w:val="0"/>
        <w:adjustRightInd w:val="0"/>
        <w:spacing w:before="50" w:afterLines="50" w:after="156" w:line="360" w:lineRule="auto"/>
        <w:ind w:firstLineChars="200" w:firstLine="480"/>
        <w:jc w:val="left"/>
        <w:rPr>
          <w:color w:val="000000"/>
          <w:kern w:val="0"/>
          <w:sz w:val="24"/>
        </w:rPr>
      </w:pPr>
      <w:r>
        <w:rPr>
          <w:color w:val="000000"/>
          <w:kern w:val="0"/>
          <w:sz w:val="24"/>
        </w:rPr>
        <w:t>5</w:t>
      </w:r>
      <w:r>
        <w:rPr>
          <w:color w:val="000000"/>
          <w:kern w:val="0"/>
          <w:sz w:val="24"/>
        </w:rPr>
        <w:t>、推进科技和管理创新，提升企业竞争力。</w:t>
      </w:r>
    </w:p>
    <w:p w:rsidR="00E617D7" w:rsidRDefault="002A30C3">
      <w:pPr>
        <w:autoSpaceDE w:val="0"/>
        <w:autoSpaceDN w:val="0"/>
        <w:adjustRightInd w:val="0"/>
        <w:spacing w:before="50" w:afterLines="50" w:after="156" w:line="360" w:lineRule="auto"/>
        <w:ind w:firstLineChars="200" w:firstLine="480"/>
        <w:jc w:val="left"/>
        <w:rPr>
          <w:color w:val="000000"/>
          <w:kern w:val="0"/>
          <w:sz w:val="24"/>
        </w:rPr>
      </w:pPr>
      <w:r>
        <w:rPr>
          <w:color w:val="000000"/>
          <w:kern w:val="0"/>
          <w:sz w:val="24"/>
        </w:rPr>
        <w:t>2018</w:t>
      </w:r>
      <w:r>
        <w:rPr>
          <w:color w:val="000000"/>
          <w:kern w:val="0"/>
          <w:sz w:val="24"/>
        </w:rPr>
        <w:t>年公司共计授权</w:t>
      </w:r>
      <w:r>
        <w:rPr>
          <w:color w:val="000000"/>
          <w:kern w:val="0"/>
          <w:sz w:val="24"/>
        </w:rPr>
        <w:t>17</w:t>
      </w:r>
      <w:r>
        <w:rPr>
          <w:color w:val="000000"/>
          <w:kern w:val="0"/>
          <w:sz w:val="24"/>
        </w:rPr>
        <w:t>件实用新型专利、</w:t>
      </w:r>
      <w:r>
        <w:rPr>
          <w:color w:val="000000"/>
          <w:kern w:val="0"/>
          <w:sz w:val="24"/>
        </w:rPr>
        <w:t>1</w:t>
      </w:r>
      <w:r>
        <w:rPr>
          <w:color w:val="000000"/>
          <w:kern w:val="0"/>
          <w:sz w:val="24"/>
        </w:rPr>
        <w:t>件软件著作权、</w:t>
      </w:r>
      <w:r>
        <w:rPr>
          <w:color w:val="000000"/>
          <w:kern w:val="0"/>
          <w:sz w:val="24"/>
        </w:rPr>
        <w:t>1</w:t>
      </w:r>
      <w:r>
        <w:rPr>
          <w:color w:val="000000"/>
          <w:kern w:val="0"/>
          <w:sz w:val="24"/>
        </w:rPr>
        <w:t>件发明专利，另有</w:t>
      </w:r>
      <w:r>
        <w:rPr>
          <w:color w:val="000000"/>
          <w:kern w:val="0"/>
          <w:sz w:val="24"/>
        </w:rPr>
        <w:t>13</w:t>
      </w:r>
      <w:r>
        <w:rPr>
          <w:color w:val="000000"/>
          <w:kern w:val="0"/>
          <w:sz w:val="24"/>
        </w:rPr>
        <w:t>项实用新</w:t>
      </w:r>
      <w:r>
        <w:rPr>
          <w:color w:val="000000"/>
          <w:kern w:val="0"/>
          <w:sz w:val="24"/>
        </w:rPr>
        <w:t>型专利已通过受理。获得</w:t>
      </w:r>
      <w:r>
        <w:rPr>
          <w:color w:val="000000"/>
          <w:kern w:val="0"/>
          <w:sz w:val="24"/>
        </w:rPr>
        <w:t>昆明钢铁控股有限公司</w:t>
      </w:r>
      <w:r>
        <w:rPr>
          <w:color w:val="000000"/>
          <w:kern w:val="0"/>
          <w:sz w:val="24"/>
        </w:rPr>
        <w:t>科技成果二等奖</w:t>
      </w:r>
      <w:r>
        <w:rPr>
          <w:color w:val="000000"/>
          <w:kern w:val="0"/>
          <w:sz w:val="24"/>
        </w:rPr>
        <w:t>1</w:t>
      </w:r>
      <w:r>
        <w:rPr>
          <w:color w:val="000000"/>
          <w:kern w:val="0"/>
          <w:sz w:val="24"/>
        </w:rPr>
        <w:t>项。低成本高端钛锭熔铸及延伸加工项目启动，为云南昆钢重型装备制造集团有限公司转型发展打下坚实基础。利用师宗公司厂房、土地，开展融资租赁业务。</w:t>
      </w:r>
    </w:p>
    <w:p w:rsidR="00E617D7" w:rsidRDefault="002A30C3">
      <w:pPr>
        <w:autoSpaceDE w:val="0"/>
        <w:autoSpaceDN w:val="0"/>
        <w:adjustRightInd w:val="0"/>
        <w:spacing w:before="50" w:afterLines="50" w:after="156" w:line="360" w:lineRule="auto"/>
        <w:ind w:firstLineChars="200" w:firstLine="480"/>
        <w:jc w:val="left"/>
        <w:rPr>
          <w:color w:val="000000"/>
          <w:kern w:val="0"/>
          <w:sz w:val="24"/>
        </w:rPr>
      </w:pPr>
      <w:r>
        <w:rPr>
          <w:color w:val="000000"/>
          <w:kern w:val="0"/>
          <w:sz w:val="24"/>
        </w:rPr>
        <w:t>报告期内，公司生产焦炭</w:t>
      </w:r>
      <w:r>
        <w:rPr>
          <w:color w:val="000000"/>
          <w:kern w:val="0"/>
          <w:sz w:val="24"/>
        </w:rPr>
        <w:t>196.70</w:t>
      </w:r>
      <w:r>
        <w:rPr>
          <w:color w:val="000000"/>
          <w:kern w:val="0"/>
          <w:sz w:val="24"/>
        </w:rPr>
        <w:t>万吨，完成年计划的</w:t>
      </w:r>
      <w:r>
        <w:rPr>
          <w:color w:val="000000"/>
          <w:kern w:val="0"/>
          <w:sz w:val="24"/>
        </w:rPr>
        <w:t>103.52%</w:t>
      </w:r>
      <w:r>
        <w:rPr>
          <w:color w:val="000000"/>
          <w:kern w:val="0"/>
          <w:sz w:val="24"/>
        </w:rPr>
        <w:t>；生产煤化工产品</w:t>
      </w:r>
      <w:r>
        <w:rPr>
          <w:color w:val="000000"/>
          <w:kern w:val="0"/>
          <w:sz w:val="24"/>
        </w:rPr>
        <w:t>15.54</w:t>
      </w:r>
      <w:r>
        <w:rPr>
          <w:color w:val="000000"/>
          <w:kern w:val="0"/>
          <w:sz w:val="24"/>
        </w:rPr>
        <w:t>万吨，完成年计划的</w:t>
      </w:r>
      <w:r>
        <w:rPr>
          <w:color w:val="000000"/>
          <w:kern w:val="0"/>
          <w:sz w:val="24"/>
        </w:rPr>
        <w:t>88.75%</w:t>
      </w:r>
      <w:r>
        <w:rPr>
          <w:color w:val="000000"/>
          <w:kern w:val="0"/>
          <w:sz w:val="24"/>
        </w:rPr>
        <w:t>；煤气产量</w:t>
      </w:r>
      <w:r>
        <w:rPr>
          <w:color w:val="000000"/>
          <w:kern w:val="0"/>
          <w:sz w:val="24"/>
        </w:rPr>
        <w:t>7.77</w:t>
      </w:r>
      <w:r>
        <w:rPr>
          <w:color w:val="000000"/>
          <w:kern w:val="0"/>
          <w:sz w:val="24"/>
        </w:rPr>
        <w:t>亿立方，完成年计划的</w:t>
      </w:r>
      <w:r>
        <w:rPr>
          <w:color w:val="000000"/>
          <w:kern w:val="0"/>
          <w:sz w:val="24"/>
        </w:rPr>
        <w:t>99.66%</w:t>
      </w:r>
      <w:r>
        <w:rPr>
          <w:color w:val="000000"/>
          <w:kern w:val="0"/>
          <w:sz w:val="24"/>
        </w:rPr>
        <w:t>，生产煤矿产品</w:t>
      </w:r>
      <w:r>
        <w:rPr>
          <w:color w:val="000000"/>
          <w:kern w:val="0"/>
          <w:sz w:val="24"/>
        </w:rPr>
        <w:t>0.15</w:t>
      </w:r>
      <w:r>
        <w:rPr>
          <w:color w:val="000000"/>
          <w:kern w:val="0"/>
          <w:sz w:val="24"/>
        </w:rPr>
        <w:t>万吨，完成年计划的</w:t>
      </w:r>
      <w:r>
        <w:rPr>
          <w:color w:val="000000"/>
          <w:kern w:val="0"/>
          <w:sz w:val="24"/>
        </w:rPr>
        <w:t>0.79%</w:t>
      </w:r>
      <w:r>
        <w:rPr>
          <w:color w:val="000000"/>
          <w:kern w:val="0"/>
          <w:sz w:val="24"/>
        </w:rPr>
        <w:t>；生产机加工产品</w:t>
      </w:r>
      <w:r>
        <w:rPr>
          <w:color w:val="000000"/>
          <w:kern w:val="0"/>
          <w:sz w:val="24"/>
        </w:rPr>
        <w:t>0.73</w:t>
      </w:r>
      <w:r>
        <w:rPr>
          <w:color w:val="000000"/>
          <w:kern w:val="0"/>
          <w:sz w:val="24"/>
        </w:rPr>
        <w:t>万吨，完成年计划的</w:t>
      </w:r>
      <w:r>
        <w:rPr>
          <w:color w:val="000000"/>
          <w:kern w:val="0"/>
          <w:sz w:val="24"/>
        </w:rPr>
        <w:t>33.08%</w:t>
      </w:r>
      <w:r>
        <w:rPr>
          <w:color w:val="000000"/>
          <w:kern w:val="0"/>
          <w:sz w:val="24"/>
        </w:rPr>
        <w:t>；生产轧辊</w:t>
      </w:r>
      <w:r>
        <w:rPr>
          <w:color w:val="000000"/>
          <w:kern w:val="0"/>
          <w:sz w:val="24"/>
        </w:rPr>
        <w:t>0.14</w:t>
      </w:r>
      <w:r>
        <w:rPr>
          <w:color w:val="000000"/>
          <w:kern w:val="0"/>
          <w:sz w:val="24"/>
        </w:rPr>
        <w:t>万吨，完成年计划的</w:t>
      </w:r>
      <w:r>
        <w:rPr>
          <w:color w:val="000000"/>
          <w:kern w:val="0"/>
          <w:sz w:val="24"/>
        </w:rPr>
        <w:t>72.13%</w:t>
      </w:r>
      <w:r>
        <w:rPr>
          <w:color w:val="000000"/>
          <w:kern w:val="0"/>
          <w:sz w:val="24"/>
        </w:rPr>
        <w:t>；生产耐磨产品</w:t>
      </w:r>
      <w:r>
        <w:rPr>
          <w:color w:val="000000"/>
          <w:kern w:val="0"/>
          <w:sz w:val="24"/>
        </w:rPr>
        <w:t>1.71</w:t>
      </w:r>
      <w:r>
        <w:rPr>
          <w:color w:val="000000"/>
          <w:kern w:val="0"/>
          <w:sz w:val="24"/>
        </w:rPr>
        <w:t>万吨，完成年计划的</w:t>
      </w:r>
      <w:r>
        <w:rPr>
          <w:color w:val="000000"/>
          <w:kern w:val="0"/>
          <w:sz w:val="24"/>
        </w:rPr>
        <w:t>85.50%</w:t>
      </w:r>
      <w:r>
        <w:rPr>
          <w:color w:val="000000"/>
          <w:kern w:val="0"/>
          <w:sz w:val="24"/>
        </w:rPr>
        <w:t>。</w:t>
      </w:r>
    </w:p>
    <w:p w:rsidR="00E617D7" w:rsidRDefault="002A30C3">
      <w:pPr>
        <w:autoSpaceDE w:val="0"/>
        <w:autoSpaceDN w:val="0"/>
        <w:adjustRightInd w:val="0"/>
        <w:spacing w:before="50" w:afterLines="50" w:after="156" w:line="360" w:lineRule="auto"/>
        <w:ind w:firstLineChars="200" w:firstLine="480"/>
        <w:jc w:val="left"/>
        <w:rPr>
          <w:color w:val="000000"/>
          <w:kern w:val="0"/>
          <w:sz w:val="24"/>
        </w:rPr>
      </w:pPr>
      <w:r>
        <w:rPr>
          <w:color w:val="000000"/>
          <w:kern w:val="0"/>
          <w:sz w:val="24"/>
        </w:rPr>
        <w:t>报告期内，公司实现营业收入</w:t>
      </w:r>
      <w:r>
        <w:rPr>
          <w:color w:val="000000"/>
          <w:kern w:val="0"/>
          <w:sz w:val="24"/>
        </w:rPr>
        <w:t>539,927.93</w:t>
      </w:r>
      <w:r>
        <w:rPr>
          <w:color w:val="000000"/>
          <w:kern w:val="0"/>
          <w:sz w:val="24"/>
        </w:rPr>
        <w:t>万元，同比上升</w:t>
      </w:r>
      <w:r>
        <w:rPr>
          <w:color w:val="000000"/>
          <w:kern w:val="0"/>
          <w:sz w:val="24"/>
        </w:rPr>
        <w:t>22.07%</w:t>
      </w:r>
      <w:r>
        <w:rPr>
          <w:color w:val="000000"/>
          <w:kern w:val="0"/>
          <w:sz w:val="24"/>
        </w:rPr>
        <w:t>；实现归属于母公司净利润为</w:t>
      </w:r>
      <w:r>
        <w:rPr>
          <w:color w:val="000000"/>
          <w:kern w:val="0"/>
          <w:sz w:val="24"/>
        </w:rPr>
        <w:t>19,164.30</w:t>
      </w:r>
      <w:r>
        <w:rPr>
          <w:color w:val="000000"/>
          <w:kern w:val="0"/>
          <w:sz w:val="24"/>
        </w:rPr>
        <w:t>万元，实现扭亏为</w:t>
      </w:r>
      <w:r>
        <w:rPr>
          <w:color w:val="000000"/>
          <w:kern w:val="0"/>
          <w:sz w:val="24"/>
        </w:rPr>
        <w:t>盈。</w:t>
      </w:r>
    </w:p>
    <w:p w:rsidR="00E617D7" w:rsidRDefault="002A30C3">
      <w:pPr>
        <w:autoSpaceDE w:val="0"/>
        <w:autoSpaceDN w:val="0"/>
        <w:adjustRightInd w:val="0"/>
        <w:spacing w:beforeLines="50" w:before="156" w:afterLines="50" w:after="156" w:line="360" w:lineRule="auto"/>
        <w:jc w:val="left"/>
        <w:rPr>
          <w:b/>
          <w:color w:val="000000"/>
          <w:kern w:val="0"/>
          <w:sz w:val="24"/>
        </w:rPr>
      </w:pPr>
      <w:r>
        <w:rPr>
          <w:b/>
          <w:color w:val="000000"/>
          <w:kern w:val="0"/>
          <w:sz w:val="24"/>
        </w:rPr>
        <w:t>三、发行人</w:t>
      </w:r>
      <w:r>
        <w:rPr>
          <w:b/>
          <w:color w:val="000000"/>
          <w:kern w:val="0"/>
          <w:sz w:val="24"/>
        </w:rPr>
        <w:t>201</w:t>
      </w:r>
      <w:r>
        <w:rPr>
          <w:b/>
          <w:color w:val="000000"/>
          <w:kern w:val="0"/>
          <w:sz w:val="24"/>
        </w:rPr>
        <w:t>8</w:t>
      </w:r>
      <w:r>
        <w:rPr>
          <w:b/>
          <w:color w:val="000000"/>
          <w:kern w:val="0"/>
          <w:sz w:val="24"/>
        </w:rPr>
        <w:t>年度财务情况</w:t>
      </w:r>
    </w:p>
    <w:p w:rsidR="00E617D7" w:rsidRDefault="002A30C3">
      <w:pPr>
        <w:autoSpaceDE w:val="0"/>
        <w:autoSpaceDN w:val="0"/>
        <w:adjustRightInd w:val="0"/>
        <w:spacing w:beforeLines="50" w:before="156" w:afterLines="50" w:after="156" w:line="360" w:lineRule="auto"/>
        <w:ind w:firstLineChars="200" w:firstLine="480"/>
        <w:jc w:val="left"/>
        <w:rPr>
          <w:color w:val="000000"/>
          <w:kern w:val="0"/>
          <w:sz w:val="24"/>
        </w:rPr>
      </w:pPr>
      <w:r>
        <w:rPr>
          <w:color w:val="000000"/>
          <w:kern w:val="0"/>
          <w:sz w:val="24"/>
        </w:rPr>
        <w:t>1</w:t>
      </w:r>
      <w:r>
        <w:rPr>
          <w:color w:val="000000"/>
          <w:kern w:val="0"/>
          <w:sz w:val="24"/>
        </w:rPr>
        <w:t>、合并资产负债表主要数据</w:t>
      </w:r>
    </w:p>
    <w:p w:rsidR="00E617D7" w:rsidRDefault="002A30C3">
      <w:pPr>
        <w:autoSpaceDE w:val="0"/>
        <w:autoSpaceDN w:val="0"/>
        <w:adjustRightInd w:val="0"/>
        <w:spacing w:before="50" w:afterLines="50" w:after="156" w:line="360" w:lineRule="auto"/>
        <w:ind w:firstLineChars="200" w:firstLine="480"/>
        <w:jc w:val="right"/>
        <w:rPr>
          <w:color w:val="000000"/>
          <w:kern w:val="0"/>
          <w:sz w:val="24"/>
        </w:rPr>
      </w:pPr>
      <w:r>
        <w:rPr>
          <w:kern w:val="0"/>
          <w:sz w:val="24"/>
        </w:rPr>
        <w:t>单位：元</w:t>
      </w:r>
    </w:p>
    <w:tbl>
      <w:tblPr>
        <w:tblW w:w="85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946"/>
        <w:gridCol w:w="1858"/>
        <w:gridCol w:w="1858"/>
        <w:gridCol w:w="1860"/>
      </w:tblGrid>
      <w:tr w:rsidR="00E617D7">
        <w:trPr>
          <w:trHeight w:val="285"/>
          <w:jc w:val="center"/>
        </w:trPr>
        <w:tc>
          <w:tcPr>
            <w:tcW w:w="2946" w:type="dxa"/>
            <w:shd w:val="clear" w:color="auto" w:fill="auto"/>
            <w:noWrap/>
            <w:vAlign w:val="center"/>
          </w:tcPr>
          <w:p w:rsidR="00E617D7" w:rsidRDefault="002A30C3">
            <w:pPr>
              <w:widowControl/>
              <w:spacing w:line="360" w:lineRule="auto"/>
              <w:jc w:val="center"/>
              <w:rPr>
                <w:b/>
                <w:kern w:val="0"/>
                <w:szCs w:val="21"/>
              </w:rPr>
            </w:pPr>
            <w:r>
              <w:rPr>
                <w:b/>
                <w:color w:val="000000"/>
                <w:kern w:val="0"/>
                <w:szCs w:val="21"/>
              </w:rPr>
              <w:t>项目</w:t>
            </w:r>
          </w:p>
        </w:tc>
        <w:tc>
          <w:tcPr>
            <w:tcW w:w="1858" w:type="dxa"/>
            <w:shd w:val="clear" w:color="auto" w:fill="auto"/>
            <w:noWrap/>
            <w:vAlign w:val="center"/>
          </w:tcPr>
          <w:p w:rsidR="00E617D7" w:rsidRDefault="002A30C3">
            <w:pPr>
              <w:widowControl/>
              <w:spacing w:line="360" w:lineRule="auto"/>
              <w:jc w:val="center"/>
              <w:rPr>
                <w:b/>
                <w:kern w:val="0"/>
                <w:szCs w:val="21"/>
              </w:rPr>
            </w:pPr>
            <w:r>
              <w:rPr>
                <w:b/>
                <w:color w:val="000000"/>
                <w:kern w:val="0"/>
                <w:szCs w:val="21"/>
              </w:rPr>
              <w:t>201</w:t>
            </w:r>
            <w:r>
              <w:rPr>
                <w:b/>
                <w:color w:val="000000"/>
                <w:kern w:val="0"/>
                <w:szCs w:val="21"/>
              </w:rPr>
              <w:t>8</w:t>
            </w:r>
            <w:r>
              <w:rPr>
                <w:b/>
                <w:color w:val="000000"/>
                <w:kern w:val="0"/>
                <w:szCs w:val="21"/>
              </w:rPr>
              <w:t>年末</w:t>
            </w:r>
          </w:p>
        </w:tc>
        <w:tc>
          <w:tcPr>
            <w:tcW w:w="1858" w:type="dxa"/>
            <w:shd w:val="clear" w:color="auto" w:fill="auto"/>
            <w:noWrap/>
            <w:vAlign w:val="center"/>
          </w:tcPr>
          <w:p w:rsidR="00E617D7" w:rsidRDefault="002A30C3">
            <w:pPr>
              <w:widowControl/>
              <w:spacing w:line="360" w:lineRule="auto"/>
              <w:jc w:val="center"/>
              <w:rPr>
                <w:b/>
                <w:kern w:val="0"/>
                <w:szCs w:val="21"/>
              </w:rPr>
            </w:pPr>
            <w:r>
              <w:rPr>
                <w:b/>
                <w:color w:val="000000"/>
                <w:kern w:val="0"/>
                <w:szCs w:val="21"/>
              </w:rPr>
              <w:t>201</w:t>
            </w:r>
            <w:r>
              <w:rPr>
                <w:b/>
                <w:color w:val="000000"/>
                <w:kern w:val="0"/>
                <w:szCs w:val="21"/>
              </w:rPr>
              <w:t>7</w:t>
            </w:r>
            <w:r>
              <w:rPr>
                <w:b/>
                <w:color w:val="000000"/>
                <w:kern w:val="0"/>
                <w:szCs w:val="21"/>
              </w:rPr>
              <w:t>年末</w:t>
            </w:r>
          </w:p>
        </w:tc>
        <w:tc>
          <w:tcPr>
            <w:tcW w:w="1860" w:type="dxa"/>
            <w:shd w:val="clear" w:color="auto" w:fill="auto"/>
            <w:noWrap/>
            <w:vAlign w:val="center"/>
          </w:tcPr>
          <w:p w:rsidR="00E617D7" w:rsidRDefault="002A30C3">
            <w:pPr>
              <w:widowControl/>
              <w:spacing w:line="360" w:lineRule="auto"/>
              <w:jc w:val="center"/>
              <w:rPr>
                <w:b/>
                <w:kern w:val="0"/>
                <w:szCs w:val="21"/>
              </w:rPr>
            </w:pPr>
            <w:r>
              <w:rPr>
                <w:b/>
                <w:color w:val="000000"/>
                <w:kern w:val="0"/>
                <w:szCs w:val="21"/>
              </w:rPr>
              <w:t>增减率</w:t>
            </w:r>
          </w:p>
        </w:tc>
      </w:tr>
      <w:tr w:rsidR="00E617D7">
        <w:trPr>
          <w:trHeight w:val="285"/>
          <w:jc w:val="center"/>
        </w:trPr>
        <w:tc>
          <w:tcPr>
            <w:tcW w:w="2946" w:type="dxa"/>
            <w:shd w:val="clear" w:color="auto" w:fill="auto"/>
            <w:noWrap/>
            <w:vAlign w:val="center"/>
          </w:tcPr>
          <w:p w:rsidR="00E617D7" w:rsidRDefault="002A30C3">
            <w:pPr>
              <w:widowControl/>
              <w:spacing w:line="360" w:lineRule="auto"/>
              <w:rPr>
                <w:kern w:val="0"/>
                <w:szCs w:val="21"/>
              </w:rPr>
            </w:pPr>
            <w:r>
              <w:rPr>
                <w:color w:val="000000"/>
                <w:kern w:val="0"/>
                <w:szCs w:val="21"/>
              </w:rPr>
              <w:t>流动资产合计</w:t>
            </w:r>
          </w:p>
        </w:tc>
        <w:tc>
          <w:tcPr>
            <w:tcW w:w="1858" w:type="dxa"/>
            <w:shd w:val="clear" w:color="auto" w:fill="auto"/>
            <w:noWrap/>
            <w:vAlign w:val="center"/>
          </w:tcPr>
          <w:p w:rsidR="00E617D7" w:rsidRDefault="002A30C3">
            <w:pPr>
              <w:jc w:val="right"/>
              <w:rPr>
                <w:color w:val="000000"/>
                <w:sz w:val="22"/>
                <w:szCs w:val="22"/>
              </w:rPr>
            </w:pPr>
            <w:r>
              <w:rPr>
                <w:color w:val="000000"/>
                <w:sz w:val="22"/>
                <w:szCs w:val="22"/>
              </w:rPr>
              <w:t>2,295,249,525.63</w:t>
            </w:r>
          </w:p>
        </w:tc>
        <w:tc>
          <w:tcPr>
            <w:tcW w:w="1858" w:type="dxa"/>
            <w:shd w:val="clear" w:color="auto" w:fill="auto"/>
            <w:noWrap/>
            <w:vAlign w:val="center"/>
          </w:tcPr>
          <w:p w:rsidR="00E617D7" w:rsidRDefault="002A30C3">
            <w:pPr>
              <w:jc w:val="right"/>
              <w:rPr>
                <w:color w:val="000000"/>
                <w:sz w:val="22"/>
                <w:szCs w:val="22"/>
              </w:rPr>
            </w:pPr>
            <w:r>
              <w:rPr>
                <w:color w:val="000000"/>
                <w:sz w:val="22"/>
                <w:szCs w:val="22"/>
              </w:rPr>
              <w:t>1,818,011,903.81</w:t>
            </w:r>
          </w:p>
        </w:tc>
        <w:tc>
          <w:tcPr>
            <w:tcW w:w="1860" w:type="dxa"/>
            <w:shd w:val="clear" w:color="auto" w:fill="auto"/>
            <w:noWrap/>
            <w:vAlign w:val="center"/>
          </w:tcPr>
          <w:p w:rsidR="00E617D7" w:rsidRDefault="002A30C3">
            <w:pPr>
              <w:widowControl/>
              <w:jc w:val="right"/>
              <w:textAlignment w:val="center"/>
              <w:rPr>
                <w:color w:val="000000"/>
                <w:sz w:val="22"/>
                <w:szCs w:val="22"/>
              </w:rPr>
            </w:pPr>
            <w:r>
              <w:rPr>
                <w:color w:val="000000"/>
                <w:kern w:val="0"/>
                <w:sz w:val="22"/>
                <w:szCs w:val="22"/>
                <w:lang w:bidi="ar"/>
              </w:rPr>
              <w:t>26.25%</w:t>
            </w:r>
          </w:p>
        </w:tc>
      </w:tr>
      <w:tr w:rsidR="00E617D7">
        <w:trPr>
          <w:trHeight w:val="285"/>
          <w:jc w:val="center"/>
        </w:trPr>
        <w:tc>
          <w:tcPr>
            <w:tcW w:w="2946" w:type="dxa"/>
            <w:shd w:val="clear" w:color="auto" w:fill="auto"/>
            <w:noWrap/>
            <w:vAlign w:val="center"/>
          </w:tcPr>
          <w:p w:rsidR="00E617D7" w:rsidRDefault="002A30C3">
            <w:pPr>
              <w:widowControl/>
              <w:spacing w:line="360" w:lineRule="auto"/>
              <w:rPr>
                <w:kern w:val="0"/>
                <w:szCs w:val="21"/>
              </w:rPr>
            </w:pPr>
            <w:r>
              <w:rPr>
                <w:color w:val="000000"/>
                <w:kern w:val="0"/>
                <w:szCs w:val="21"/>
              </w:rPr>
              <w:t>非流动资产合计</w:t>
            </w:r>
          </w:p>
        </w:tc>
        <w:tc>
          <w:tcPr>
            <w:tcW w:w="1858" w:type="dxa"/>
            <w:shd w:val="clear" w:color="auto" w:fill="auto"/>
            <w:noWrap/>
            <w:vAlign w:val="center"/>
          </w:tcPr>
          <w:p w:rsidR="00E617D7" w:rsidRDefault="002A30C3">
            <w:pPr>
              <w:jc w:val="right"/>
              <w:rPr>
                <w:color w:val="000000"/>
                <w:sz w:val="22"/>
                <w:szCs w:val="22"/>
              </w:rPr>
            </w:pPr>
            <w:r>
              <w:rPr>
                <w:color w:val="000000"/>
                <w:sz w:val="22"/>
                <w:szCs w:val="22"/>
              </w:rPr>
              <w:t>3,064,333,787.39</w:t>
            </w:r>
          </w:p>
        </w:tc>
        <w:tc>
          <w:tcPr>
            <w:tcW w:w="1858" w:type="dxa"/>
            <w:shd w:val="clear" w:color="auto" w:fill="auto"/>
            <w:noWrap/>
            <w:vAlign w:val="center"/>
          </w:tcPr>
          <w:p w:rsidR="00E617D7" w:rsidRDefault="002A30C3">
            <w:pPr>
              <w:jc w:val="right"/>
              <w:rPr>
                <w:color w:val="000000"/>
                <w:sz w:val="22"/>
                <w:szCs w:val="22"/>
              </w:rPr>
            </w:pPr>
            <w:r>
              <w:rPr>
                <w:color w:val="000000"/>
                <w:sz w:val="22"/>
                <w:szCs w:val="22"/>
              </w:rPr>
              <w:t>3,450,262,544.35</w:t>
            </w:r>
          </w:p>
        </w:tc>
        <w:tc>
          <w:tcPr>
            <w:tcW w:w="1860" w:type="dxa"/>
            <w:shd w:val="clear" w:color="auto" w:fill="auto"/>
            <w:noWrap/>
            <w:vAlign w:val="center"/>
          </w:tcPr>
          <w:p w:rsidR="00E617D7" w:rsidRDefault="002A30C3">
            <w:pPr>
              <w:widowControl/>
              <w:jc w:val="right"/>
              <w:textAlignment w:val="center"/>
              <w:rPr>
                <w:color w:val="000000"/>
                <w:sz w:val="22"/>
                <w:szCs w:val="22"/>
              </w:rPr>
            </w:pPr>
            <w:r>
              <w:rPr>
                <w:color w:val="000000"/>
                <w:kern w:val="0"/>
                <w:sz w:val="22"/>
                <w:szCs w:val="22"/>
                <w:lang w:bidi="ar"/>
              </w:rPr>
              <w:t>-11.19%</w:t>
            </w:r>
          </w:p>
        </w:tc>
      </w:tr>
      <w:tr w:rsidR="00E617D7">
        <w:trPr>
          <w:trHeight w:val="285"/>
          <w:jc w:val="center"/>
        </w:trPr>
        <w:tc>
          <w:tcPr>
            <w:tcW w:w="2946" w:type="dxa"/>
            <w:shd w:val="clear" w:color="auto" w:fill="auto"/>
            <w:noWrap/>
            <w:vAlign w:val="center"/>
          </w:tcPr>
          <w:p w:rsidR="00E617D7" w:rsidRDefault="002A30C3">
            <w:pPr>
              <w:widowControl/>
              <w:spacing w:line="360" w:lineRule="auto"/>
              <w:rPr>
                <w:kern w:val="0"/>
                <w:szCs w:val="21"/>
              </w:rPr>
            </w:pPr>
            <w:r>
              <w:rPr>
                <w:color w:val="000000"/>
                <w:kern w:val="0"/>
                <w:szCs w:val="21"/>
              </w:rPr>
              <w:t>资产总计</w:t>
            </w:r>
          </w:p>
        </w:tc>
        <w:tc>
          <w:tcPr>
            <w:tcW w:w="1858" w:type="dxa"/>
            <w:shd w:val="clear" w:color="auto" w:fill="auto"/>
            <w:noWrap/>
            <w:vAlign w:val="center"/>
          </w:tcPr>
          <w:p w:rsidR="00E617D7" w:rsidRDefault="002A30C3">
            <w:pPr>
              <w:jc w:val="right"/>
              <w:rPr>
                <w:color w:val="000000"/>
                <w:sz w:val="22"/>
                <w:szCs w:val="22"/>
              </w:rPr>
            </w:pPr>
            <w:r>
              <w:rPr>
                <w:color w:val="000000"/>
                <w:sz w:val="22"/>
                <w:szCs w:val="22"/>
              </w:rPr>
              <w:t>5,359,583,313.02</w:t>
            </w:r>
          </w:p>
        </w:tc>
        <w:tc>
          <w:tcPr>
            <w:tcW w:w="1858" w:type="dxa"/>
            <w:shd w:val="clear" w:color="auto" w:fill="auto"/>
            <w:noWrap/>
            <w:vAlign w:val="center"/>
          </w:tcPr>
          <w:p w:rsidR="00E617D7" w:rsidRDefault="002A30C3">
            <w:pPr>
              <w:jc w:val="right"/>
              <w:rPr>
                <w:color w:val="000000"/>
                <w:sz w:val="22"/>
                <w:szCs w:val="22"/>
              </w:rPr>
            </w:pPr>
            <w:r>
              <w:rPr>
                <w:color w:val="000000"/>
                <w:sz w:val="22"/>
                <w:szCs w:val="22"/>
              </w:rPr>
              <w:t>5,268,274,448.16</w:t>
            </w:r>
          </w:p>
        </w:tc>
        <w:tc>
          <w:tcPr>
            <w:tcW w:w="1860" w:type="dxa"/>
            <w:shd w:val="clear" w:color="auto" w:fill="auto"/>
            <w:noWrap/>
            <w:vAlign w:val="center"/>
          </w:tcPr>
          <w:p w:rsidR="00E617D7" w:rsidRDefault="002A30C3">
            <w:pPr>
              <w:widowControl/>
              <w:jc w:val="right"/>
              <w:textAlignment w:val="center"/>
              <w:rPr>
                <w:color w:val="000000"/>
                <w:sz w:val="22"/>
                <w:szCs w:val="22"/>
              </w:rPr>
            </w:pPr>
            <w:r>
              <w:rPr>
                <w:color w:val="000000"/>
                <w:kern w:val="0"/>
                <w:sz w:val="22"/>
                <w:szCs w:val="22"/>
                <w:lang w:bidi="ar"/>
              </w:rPr>
              <w:t>1.73%</w:t>
            </w:r>
          </w:p>
        </w:tc>
      </w:tr>
      <w:tr w:rsidR="00E617D7">
        <w:trPr>
          <w:trHeight w:val="285"/>
          <w:jc w:val="center"/>
        </w:trPr>
        <w:tc>
          <w:tcPr>
            <w:tcW w:w="2946" w:type="dxa"/>
            <w:shd w:val="clear" w:color="auto" w:fill="auto"/>
            <w:noWrap/>
            <w:vAlign w:val="center"/>
          </w:tcPr>
          <w:p w:rsidR="00E617D7" w:rsidRDefault="002A30C3">
            <w:pPr>
              <w:widowControl/>
              <w:spacing w:line="360" w:lineRule="auto"/>
              <w:rPr>
                <w:kern w:val="0"/>
                <w:szCs w:val="21"/>
              </w:rPr>
            </w:pPr>
            <w:r>
              <w:rPr>
                <w:color w:val="000000"/>
                <w:kern w:val="0"/>
                <w:szCs w:val="21"/>
              </w:rPr>
              <w:lastRenderedPageBreak/>
              <w:t>流动负债合计</w:t>
            </w:r>
          </w:p>
        </w:tc>
        <w:tc>
          <w:tcPr>
            <w:tcW w:w="1858" w:type="dxa"/>
            <w:shd w:val="clear" w:color="auto" w:fill="auto"/>
            <w:noWrap/>
            <w:vAlign w:val="center"/>
          </w:tcPr>
          <w:p w:rsidR="00E617D7" w:rsidRDefault="002A30C3">
            <w:pPr>
              <w:jc w:val="right"/>
              <w:rPr>
                <w:color w:val="000000"/>
                <w:sz w:val="22"/>
                <w:szCs w:val="22"/>
              </w:rPr>
            </w:pPr>
            <w:r>
              <w:rPr>
                <w:color w:val="000000"/>
                <w:sz w:val="22"/>
                <w:szCs w:val="22"/>
              </w:rPr>
              <w:t>1,839,547,219.21</w:t>
            </w:r>
          </w:p>
        </w:tc>
        <w:tc>
          <w:tcPr>
            <w:tcW w:w="1858" w:type="dxa"/>
            <w:shd w:val="clear" w:color="auto" w:fill="auto"/>
            <w:noWrap/>
            <w:vAlign w:val="center"/>
          </w:tcPr>
          <w:p w:rsidR="00E617D7" w:rsidRDefault="002A30C3">
            <w:pPr>
              <w:jc w:val="right"/>
              <w:rPr>
                <w:color w:val="000000"/>
                <w:sz w:val="22"/>
                <w:szCs w:val="22"/>
              </w:rPr>
            </w:pPr>
            <w:r>
              <w:rPr>
                <w:color w:val="000000"/>
                <w:sz w:val="22"/>
                <w:szCs w:val="22"/>
              </w:rPr>
              <w:t>1,722,831,073.48</w:t>
            </w:r>
          </w:p>
        </w:tc>
        <w:tc>
          <w:tcPr>
            <w:tcW w:w="1860" w:type="dxa"/>
            <w:shd w:val="clear" w:color="auto" w:fill="auto"/>
            <w:noWrap/>
            <w:vAlign w:val="center"/>
          </w:tcPr>
          <w:p w:rsidR="00E617D7" w:rsidRDefault="002A30C3">
            <w:pPr>
              <w:widowControl/>
              <w:jc w:val="right"/>
              <w:textAlignment w:val="center"/>
              <w:rPr>
                <w:color w:val="000000"/>
                <w:sz w:val="22"/>
                <w:szCs w:val="22"/>
              </w:rPr>
            </w:pPr>
            <w:r>
              <w:rPr>
                <w:color w:val="000000"/>
                <w:kern w:val="0"/>
                <w:sz w:val="22"/>
                <w:szCs w:val="22"/>
                <w:lang w:bidi="ar"/>
              </w:rPr>
              <w:t>6.77%</w:t>
            </w:r>
          </w:p>
        </w:tc>
      </w:tr>
      <w:tr w:rsidR="00E617D7">
        <w:trPr>
          <w:trHeight w:val="285"/>
          <w:jc w:val="center"/>
        </w:trPr>
        <w:tc>
          <w:tcPr>
            <w:tcW w:w="2946" w:type="dxa"/>
            <w:shd w:val="clear" w:color="auto" w:fill="auto"/>
            <w:noWrap/>
            <w:vAlign w:val="center"/>
          </w:tcPr>
          <w:p w:rsidR="00E617D7" w:rsidRDefault="002A30C3">
            <w:pPr>
              <w:widowControl/>
              <w:spacing w:line="360" w:lineRule="auto"/>
              <w:rPr>
                <w:kern w:val="0"/>
                <w:szCs w:val="21"/>
              </w:rPr>
            </w:pPr>
            <w:r>
              <w:rPr>
                <w:color w:val="000000"/>
                <w:kern w:val="0"/>
                <w:szCs w:val="21"/>
              </w:rPr>
              <w:t>非流动负债合计</w:t>
            </w:r>
          </w:p>
        </w:tc>
        <w:tc>
          <w:tcPr>
            <w:tcW w:w="1858" w:type="dxa"/>
            <w:shd w:val="clear" w:color="auto" w:fill="auto"/>
            <w:noWrap/>
            <w:vAlign w:val="center"/>
          </w:tcPr>
          <w:p w:rsidR="00E617D7" w:rsidRDefault="002A30C3">
            <w:pPr>
              <w:jc w:val="right"/>
              <w:rPr>
                <w:color w:val="000000"/>
                <w:sz w:val="22"/>
                <w:szCs w:val="22"/>
              </w:rPr>
            </w:pPr>
            <w:r>
              <w:rPr>
                <w:color w:val="000000"/>
                <w:sz w:val="22"/>
                <w:szCs w:val="22"/>
              </w:rPr>
              <w:t>343,833,133.94</w:t>
            </w:r>
          </w:p>
        </w:tc>
        <w:tc>
          <w:tcPr>
            <w:tcW w:w="1858" w:type="dxa"/>
            <w:shd w:val="clear" w:color="auto" w:fill="auto"/>
            <w:noWrap/>
            <w:vAlign w:val="center"/>
          </w:tcPr>
          <w:p w:rsidR="00E617D7" w:rsidRDefault="002A30C3">
            <w:pPr>
              <w:jc w:val="right"/>
              <w:rPr>
                <w:color w:val="000000"/>
                <w:sz w:val="22"/>
                <w:szCs w:val="22"/>
              </w:rPr>
            </w:pPr>
            <w:r>
              <w:rPr>
                <w:color w:val="000000"/>
                <w:sz w:val="22"/>
                <w:szCs w:val="22"/>
              </w:rPr>
              <w:t>562,843,954.45</w:t>
            </w:r>
          </w:p>
        </w:tc>
        <w:tc>
          <w:tcPr>
            <w:tcW w:w="1860" w:type="dxa"/>
            <w:shd w:val="clear" w:color="auto" w:fill="auto"/>
            <w:noWrap/>
            <w:vAlign w:val="center"/>
          </w:tcPr>
          <w:p w:rsidR="00E617D7" w:rsidRDefault="002A30C3">
            <w:pPr>
              <w:widowControl/>
              <w:jc w:val="right"/>
              <w:textAlignment w:val="center"/>
              <w:rPr>
                <w:color w:val="000000"/>
                <w:sz w:val="22"/>
                <w:szCs w:val="22"/>
              </w:rPr>
            </w:pPr>
            <w:r>
              <w:rPr>
                <w:color w:val="000000"/>
                <w:kern w:val="0"/>
                <w:sz w:val="22"/>
                <w:szCs w:val="22"/>
                <w:lang w:bidi="ar"/>
              </w:rPr>
              <w:t>-38.91%</w:t>
            </w:r>
          </w:p>
        </w:tc>
      </w:tr>
      <w:tr w:rsidR="00E617D7">
        <w:trPr>
          <w:trHeight w:val="285"/>
          <w:jc w:val="center"/>
        </w:trPr>
        <w:tc>
          <w:tcPr>
            <w:tcW w:w="2946" w:type="dxa"/>
            <w:shd w:val="clear" w:color="auto" w:fill="auto"/>
            <w:noWrap/>
            <w:vAlign w:val="center"/>
          </w:tcPr>
          <w:p w:rsidR="00E617D7" w:rsidRDefault="002A30C3">
            <w:pPr>
              <w:widowControl/>
              <w:spacing w:line="360" w:lineRule="auto"/>
              <w:rPr>
                <w:kern w:val="0"/>
                <w:szCs w:val="21"/>
              </w:rPr>
            </w:pPr>
            <w:r>
              <w:rPr>
                <w:color w:val="000000"/>
                <w:kern w:val="0"/>
                <w:szCs w:val="21"/>
              </w:rPr>
              <w:t>负债合计</w:t>
            </w:r>
          </w:p>
        </w:tc>
        <w:tc>
          <w:tcPr>
            <w:tcW w:w="1858" w:type="dxa"/>
            <w:shd w:val="clear" w:color="auto" w:fill="auto"/>
            <w:noWrap/>
            <w:vAlign w:val="center"/>
          </w:tcPr>
          <w:p w:rsidR="00E617D7" w:rsidRDefault="002A30C3">
            <w:pPr>
              <w:jc w:val="right"/>
              <w:rPr>
                <w:color w:val="000000"/>
                <w:sz w:val="22"/>
                <w:szCs w:val="22"/>
              </w:rPr>
            </w:pPr>
            <w:r>
              <w:rPr>
                <w:color w:val="000000"/>
                <w:sz w:val="22"/>
                <w:szCs w:val="22"/>
              </w:rPr>
              <w:t>2,183,380,353.15</w:t>
            </w:r>
          </w:p>
        </w:tc>
        <w:tc>
          <w:tcPr>
            <w:tcW w:w="1858" w:type="dxa"/>
            <w:shd w:val="clear" w:color="auto" w:fill="auto"/>
            <w:noWrap/>
            <w:vAlign w:val="center"/>
          </w:tcPr>
          <w:p w:rsidR="00E617D7" w:rsidRDefault="002A30C3">
            <w:pPr>
              <w:jc w:val="right"/>
              <w:rPr>
                <w:color w:val="000000"/>
                <w:sz w:val="22"/>
                <w:szCs w:val="22"/>
              </w:rPr>
            </w:pPr>
            <w:r>
              <w:rPr>
                <w:color w:val="000000"/>
                <w:sz w:val="22"/>
                <w:szCs w:val="22"/>
              </w:rPr>
              <w:t>2,285,675,027.93</w:t>
            </w:r>
          </w:p>
        </w:tc>
        <w:tc>
          <w:tcPr>
            <w:tcW w:w="1860" w:type="dxa"/>
            <w:shd w:val="clear" w:color="auto" w:fill="auto"/>
            <w:noWrap/>
            <w:vAlign w:val="center"/>
          </w:tcPr>
          <w:p w:rsidR="00E617D7" w:rsidRDefault="002A30C3">
            <w:pPr>
              <w:widowControl/>
              <w:jc w:val="right"/>
              <w:textAlignment w:val="center"/>
              <w:rPr>
                <w:color w:val="000000"/>
                <w:sz w:val="22"/>
                <w:szCs w:val="22"/>
              </w:rPr>
            </w:pPr>
            <w:r>
              <w:rPr>
                <w:color w:val="000000"/>
                <w:kern w:val="0"/>
                <w:sz w:val="22"/>
                <w:szCs w:val="22"/>
                <w:lang w:bidi="ar"/>
              </w:rPr>
              <w:t>-4.48%</w:t>
            </w:r>
          </w:p>
        </w:tc>
      </w:tr>
      <w:tr w:rsidR="00E617D7">
        <w:trPr>
          <w:trHeight w:val="285"/>
          <w:jc w:val="center"/>
        </w:trPr>
        <w:tc>
          <w:tcPr>
            <w:tcW w:w="2946" w:type="dxa"/>
            <w:shd w:val="clear" w:color="auto" w:fill="auto"/>
            <w:noWrap/>
            <w:vAlign w:val="center"/>
          </w:tcPr>
          <w:p w:rsidR="00E617D7" w:rsidRDefault="002A30C3">
            <w:pPr>
              <w:widowControl/>
              <w:spacing w:line="360" w:lineRule="auto"/>
              <w:rPr>
                <w:kern w:val="0"/>
                <w:szCs w:val="21"/>
              </w:rPr>
            </w:pPr>
            <w:r>
              <w:rPr>
                <w:color w:val="000000"/>
                <w:kern w:val="0"/>
                <w:szCs w:val="21"/>
              </w:rPr>
              <w:t>归属于母公司所有者权益合计</w:t>
            </w:r>
          </w:p>
        </w:tc>
        <w:tc>
          <w:tcPr>
            <w:tcW w:w="1858" w:type="dxa"/>
            <w:shd w:val="clear" w:color="auto" w:fill="auto"/>
            <w:noWrap/>
            <w:vAlign w:val="center"/>
          </w:tcPr>
          <w:p w:rsidR="00E617D7" w:rsidRDefault="002A30C3">
            <w:pPr>
              <w:jc w:val="right"/>
              <w:rPr>
                <w:color w:val="000000"/>
                <w:sz w:val="22"/>
                <w:szCs w:val="22"/>
              </w:rPr>
            </w:pPr>
            <w:r>
              <w:rPr>
                <w:color w:val="000000"/>
                <w:sz w:val="22"/>
                <w:szCs w:val="22"/>
              </w:rPr>
              <w:t>3,107,025,729.00</w:t>
            </w:r>
          </w:p>
        </w:tc>
        <w:tc>
          <w:tcPr>
            <w:tcW w:w="1858" w:type="dxa"/>
            <w:shd w:val="clear" w:color="auto" w:fill="auto"/>
            <w:noWrap/>
            <w:vAlign w:val="center"/>
          </w:tcPr>
          <w:p w:rsidR="00E617D7" w:rsidRDefault="002A30C3">
            <w:pPr>
              <w:jc w:val="right"/>
              <w:rPr>
                <w:color w:val="000000"/>
                <w:sz w:val="22"/>
                <w:szCs w:val="22"/>
              </w:rPr>
            </w:pPr>
            <w:r>
              <w:rPr>
                <w:color w:val="000000"/>
                <w:sz w:val="22"/>
                <w:szCs w:val="22"/>
              </w:rPr>
              <w:t>2,915,325,719.38</w:t>
            </w:r>
          </w:p>
        </w:tc>
        <w:tc>
          <w:tcPr>
            <w:tcW w:w="1860" w:type="dxa"/>
            <w:shd w:val="clear" w:color="auto" w:fill="auto"/>
            <w:noWrap/>
            <w:vAlign w:val="center"/>
          </w:tcPr>
          <w:p w:rsidR="00E617D7" w:rsidRDefault="002A30C3">
            <w:pPr>
              <w:widowControl/>
              <w:jc w:val="right"/>
              <w:textAlignment w:val="center"/>
              <w:rPr>
                <w:color w:val="000000"/>
                <w:sz w:val="22"/>
                <w:szCs w:val="22"/>
              </w:rPr>
            </w:pPr>
            <w:r>
              <w:rPr>
                <w:color w:val="000000"/>
                <w:kern w:val="0"/>
                <w:sz w:val="22"/>
                <w:szCs w:val="22"/>
                <w:lang w:bidi="ar"/>
              </w:rPr>
              <w:t>6.58%</w:t>
            </w:r>
          </w:p>
        </w:tc>
      </w:tr>
      <w:tr w:rsidR="00E617D7">
        <w:trPr>
          <w:trHeight w:val="285"/>
          <w:jc w:val="center"/>
        </w:trPr>
        <w:tc>
          <w:tcPr>
            <w:tcW w:w="2946" w:type="dxa"/>
            <w:shd w:val="clear" w:color="auto" w:fill="auto"/>
            <w:noWrap/>
            <w:vAlign w:val="center"/>
          </w:tcPr>
          <w:p w:rsidR="00E617D7" w:rsidRDefault="002A30C3">
            <w:pPr>
              <w:widowControl/>
              <w:spacing w:line="360" w:lineRule="auto"/>
              <w:rPr>
                <w:kern w:val="0"/>
                <w:szCs w:val="21"/>
              </w:rPr>
            </w:pPr>
            <w:r>
              <w:rPr>
                <w:color w:val="000000"/>
                <w:kern w:val="0"/>
                <w:szCs w:val="21"/>
              </w:rPr>
              <w:t>所有者权益合计</w:t>
            </w:r>
          </w:p>
        </w:tc>
        <w:tc>
          <w:tcPr>
            <w:tcW w:w="1858" w:type="dxa"/>
            <w:shd w:val="clear" w:color="auto" w:fill="auto"/>
            <w:noWrap/>
            <w:vAlign w:val="center"/>
          </w:tcPr>
          <w:p w:rsidR="00E617D7" w:rsidRDefault="002A30C3">
            <w:pPr>
              <w:jc w:val="right"/>
              <w:rPr>
                <w:color w:val="000000"/>
                <w:sz w:val="22"/>
                <w:szCs w:val="22"/>
              </w:rPr>
            </w:pPr>
            <w:r>
              <w:rPr>
                <w:color w:val="000000"/>
                <w:sz w:val="22"/>
                <w:szCs w:val="22"/>
              </w:rPr>
              <w:t>3,176,202,959.87</w:t>
            </w:r>
          </w:p>
        </w:tc>
        <w:tc>
          <w:tcPr>
            <w:tcW w:w="1858" w:type="dxa"/>
            <w:shd w:val="clear" w:color="auto" w:fill="auto"/>
            <w:noWrap/>
            <w:vAlign w:val="center"/>
          </w:tcPr>
          <w:p w:rsidR="00E617D7" w:rsidRDefault="002A30C3">
            <w:pPr>
              <w:jc w:val="right"/>
              <w:rPr>
                <w:color w:val="000000"/>
                <w:sz w:val="22"/>
                <w:szCs w:val="22"/>
              </w:rPr>
            </w:pPr>
            <w:r>
              <w:rPr>
                <w:color w:val="000000"/>
                <w:sz w:val="22"/>
                <w:szCs w:val="22"/>
              </w:rPr>
              <w:t>2,982,599,420.23</w:t>
            </w:r>
          </w:p>
        </w:tc>
        <w:tc>
          <w:tcPr>
            <w:tcW w:w="1860" w:type="dxa"/>
            <w:shd w:val="clear" w:color="auto" w:fill="auto"/>
            <w:noWrap/>
            <w:vAlign w:val="center"/>
          </w:tcPr>
          <w:p w:rsidR="00E617D7" w:rsidRDefault="002A30C3">
            <w:pPr>
              <w:widowControl/>
              <w:jc w:val="right"/>
              <w:textAlignment w:val="center"/>
              <w:rPr>
                <w:color w:val="000000"/>
                <w:sz w:val="22"/>
                <w:szCs w:val="22"/>
              </w:rPr>
            </w:pPr>
            <w:r>
              <w:rPr>
                <w:color w:val="000000"/>
                <w:kern w:val="0"/>
                <w:sz w:val="22"/>
                <w:szCs w:val="22"/>
                <w:lang w:bidi="ar"/>
              </w:rPr>
              <w:t>6.49%</w:t>
            </w:r>
          </w:p>
        </w:tc>
      </w:tr>
    </w:tbl>
    <w:p w:rsidR="00E617D7" w:rsidRDefault="002A30C3">
      <w:pPr>
        <w:pStyle w:val="Default"/>
        <w:spacing w:beforeLines="50" w:before="156" w:afterLines="50" w:after="156" w:line="360" w:lineRule="auto"/>
        <w:ind w:firstLineChars="200" w:firstLine="480"/>
        <w:rPr>
          <w:rFonts w:ascii="Times New Roman" w:eastAsia="宋体" w:cs="Times New Roman"/>
        </w:rPr>
      </w:pPr>
      <w:r>
        <w:rPr>
          <w:rFonts w:ascii="Times New Roman" w:eastAsia="宋体" w:cs="Times New Roman"/>
        </w:rPr>
        <w:t>2</w:t>
      </w:r>
      <w:r>
        <w:rPr>
          <w:rFonts w:ascii="Times New Roman" w:eastAsia="宋体" w:cs="Times New Roman"/>
        </w:rPr>
        <w:t>、合并利润表主要数据</w:t>
      </w:r>
    </w:p>
    <w:p w:rsidR="00E617D7" w:rsidRDefault="002A30C3">
      <w:pPr>
        <w:autoSpaceDE w:val="0"/>
        <w:autoSpaceDN w:val="0"/>
        <w:adjustRightInd w:val="0"/>
        <w:spacing w:beforeLines="50" w:before="156" w:afterLines="50" w:after="156" w:line="360" w:lineRule="auto"/>
        <w:jc w:val="right"/>
        <w:rPr>
          <w:color w:val="000000"/>
          <w:kern w:val="0"/>
          <w:sz w:val="24"/>
        </w:rPr>
      </w:pPr>
      <w:r>
        <w:rPr>
          <w:kern w:val="0"/>
          <w:sz w:val="24"/>
        </w:rPr>
        <w:t>单位：元</w:t>
      </w:r>
    </w:p>
    <w:tbl>
      <w:tblPr>
        <w:tblW w:w="85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052"/>
        <w:gridCol w:w="1824"/>
        <w:gridCol w:w="1824"/>
        <w:gridCol w:w="1822"/>
      </w:tblGrid>
      <w:tr w:rsidR="00E617D7">
        <w:trPr>
          <w:trHeight w:val="285"/>
          <w:jc w:val="center"/>
        </w:trPr>
        <w:tc>
          <w:tcPr>
            <w:tcW w:w="3052" w:type="dxa"/>
            <w:shd w:val="clear" w:color="auto" w:fill="auto"/>
            <w:noWrap/>
            <w:vAlign w:val="center"/>
          </w:tcPr>
          <w:p w:rsidR="00E617D7" w:rsidRDefault="002A30C3">
            <w:pPr>
              <w:widowControl/>
              <w:spacing w:line="360" w:lineRule="auto"/>
              <w:jc w:val="center"/>
              <w:rPr>
                <w:b/>
                <w:kern w:val="0"/>
                <w:szCs w:val="21"/>
              </w:rPr>
            </w:pPr>
            <w:r>
              <w:rPr>
                <w:b/>
                <w:color w:val="000000"/>
                <w:kern w:val="0"/>
                <w:szCs w:val="21"/>
              </w:rPr>
              <w:t>项目</w:t>
            </w:r>
          </w:p>
        </w:tc>
        <w:tc>
          <w:tcPr>
            <w:tcW w:w="1824" w:type="dxa"/>
            <w:shd w:val="clear" w:color="auto" w:fill="auto"/>
            <w:noWrap/>
            <w:vAlign w:val="center"/>
          </w:tcPr>
          <w:p w:rsidR="00E617D7" w:rsidRDefault="002A30C3">
            <w:pPr>
              <w:widowControl/>
              <w:spacing w:line="360" w:lineRule="auto"/>
              <w:jc w:val="center"/>
              <w:rPr>
                <w:b/>
                <w:kern w:val="0"/>
                <w:szCs w:val="21"/>
              </w:rPr>
            </w:pPr>
            <w:r>
              <w:rPr>
                <w:b/>
                <w:color w:val="000000"/>
                <w:kern w:val="0"/>
                <w:szCs w:val="21"/>
              </w:rPr>
              <w:t>201</w:t>
            </w:r>
            <w:r>
              <w:rPr>
                <w:b/>
                <w:color w:val="000000"/>
                <w:kern w:val="0"/>
                <w:szCs w:val="21"/>
              </w:rPr>
              <w:t>8</w:t>
            </w:r>
            <w:r>
              <w:rPr>
                <w:b/>
                <w:color w:val="000000"/>
                <w:kern w:val="0"/>
                <w:szCs w:val="21"/>
              </w:rPr>
              <w:t>年度</w:t>
            </w:r>
          </w:p>
        </w:tc>
        <w:tc>
          <w:tcPr>
            <w:tcW w:w="1824" w:type="dxa"/>
            <w:shd w:val="clear" w:color="auto" w:fill="auto"/>
            <w:noWrap/>
            <w:vAlign w:val="center"/>
          </w:tcPr>
          <w:p w:rsidR="00E617D7" w:rsidRDefault="002A30C3">
            <w:pPr>
              <w:widowControl/>
              <w:spacing w:line="360" w:lineRule="auto"/>
              <w:jc w:val="center"/>
              <w:rPr>
                <w:b/>
                <w:kern w:val="0"/>
                <w:szCs w:val="21"/>
              </w:rPr>
            </w:pPr>
            <w:r>
              <w:rPr>
                <w:b/>
                <w:color w:val="000000"/>
                <w:kern w:val="0"/>
                <w:szCs w:val="21"/>
              </w:rPr>
              <w:t>201</w:t>
            </w:r>
            <w:r>
              <w:rPr>
                <w:b/>
                <w:color w:val="000000"/>
                <w:kern w:val="0"/>
                <w:szCs w:val="21"/>
              </w:rPr>
              <w:t>7</w:t>
            </w:r>
            <w:r>
              <w:rPr>
                <w:b/>
                <w:color w:val="000000"/>
                <w:kern w:val="0"/>
                <w:szCs w:val="21"/>
              </w:rPr>
              <w:t>年度</w:t>
            </w:r>
          </w:p>
        </w:tc>
        <w:tc>
          <w:tcPr>
            <w:tcW w:w="1822" w:type="dxa"/>
            <w:shd w:val="clear" w:color="auto" w:fill="auto"/>
            <w:noWrap/>
            <w:vAlign w:val="center"/>
          </w:tcPr>
          <w:p w:rsidR="00E617D7" w:rsidRDefault="002A30C3">
            <w:pPr>
              <w:widowControl/>
              <w:spacing w:line="360" w:lineRule="auto"/>
              <w:jc w:val="center"/>
              <w:rPr>
                <w:b/>
                <w:kern w:val="0"/>
                <w:szCs w:val="21"/>
              </w:rPr>
            </w:pPr>
            <w:r>
              <w:rPr>
                <w:b/>
                <w:color w:val="000000"/>
                <w:kern w:val="0"/>
                <w:szCs w:val="21"/>
              </w:rPr>
              <w:t>增减率</w:t>
            </w:r>
          </w:p>
        </w:tc>
      </w:tr>
      <w:tr w:rsidR="00E617D7">
        <w:trPr>
          <w:trHeight w:val="285"/>
          <w:jc w:val="center"/>
        </w:trPr>
        <w:tc>
          <w:tcPr>
            <w:tcW w:w="3052" w:type="dxa"/>
            <w:shd w:val="clear" w:color="auto" w:fill="auto"/>
            <w:noWrap/>
            <w:vAlign w:val="center"/>
          </w:tcPr>
          <w:p w:rsidR="00E617D7" w:rsidRDefault="002A30C3">
            <w:pPr>
              <w:widowControl/>
              <w:spacing w:line="360" w:lineRule="auto"/>
              <w:jc w:val="left"/>
              <w:rPr>
                <w:kern w:val="0"/>
                <w:szCs w:val="21"/>
              </w:rPr>
            </w:pPr>
            <w:r>
              <w:rPr>
                <w:color w:val="000000"/>
                <w:kern w:val="0"/>
                <w:szCs w:val="21"/>
              </w:rPr>
              <w:t>营业收入</w:t>
            </w:r>
          </w:p>
        </w:tc>
        <w:tc>
          <w:tcPr>
            <w:tcW w:w="1824" w:type="dxa"/>
            <w:shd w:val="clear" w:color="auto" w:fill="auto"/>
            <w:noWrap/>
            <w:vAlign w:val="center"/>
          </w:tcPr>
          <w:p w:rsidR="00E617D7" w:rsidRDefault="002A30C3">
            <w:pPr>
              <w:jc w:val="right"/>
              <w:rPr>
                <w:color w:val="000000"/>
                <w:sz w:val="22"/>
                <w:szCs w:val="22"/>
              </w:rPr>
            </w:pPr>
            <w:r>
              <w:rPr>
                <w:color w:val="000000"/>
                <w:sz w:val="22"/>
                <w:szCs w:val="22"/>
              </w:rPr>
              <w:t>5,399,279,342.17</w:t>
            </w:r>
          </w:p>
        </w:tc>
        <w:tc>
          <w:tcPr>
            <w:tcW w:w="1824" w:type="dxa"/>
            <w:shd w:val="clear" w:color="auto" w:fill="auto"/>
            <w:noWrap/>
            <w:vAlign w:val="center"/>
          </w:tcPr>
          <w:p w:rsidR="00E617D7" w:rsidRDefault="002A30C3">
            <w:pPr>
              <w:jc w:val="right"/>
              <w:rPr>
                <w:color w:val="000000"/>
                <w:sz w:val="22"/>
                <w:szCs w:val="22"/>
              </w:rPr>
            </w:pPr>
            <w:r>
              <w:rPr>
                <w:color w:val="000000"/>
                <w:sz w:val="22"/>
                <w:szCs w:val="22"/>
              </w:rPr>
              <w:t>4,422,929,775.19</w:t>
            </w:r>
          </w:p>
        </w:tc>
        <w:tc>
          <w:tcPr>
            <w:tcW w:w="1822" w:type="dxa"/>
            <w:shd w:val="clear" w:color="auto" w:fill="auto"/>
            <w:noWrap/>
            <w:vAlign w:val="center"/>
          </w:tcPr>
          <w:p w:rsidR="00E617D7" w:rsidRDefault="002A30C3">
            <w:pPr>
              <w:widowControl/>
              <w:jc w:val="right"/>
              <w:textAlignment w:val="center"/>
              <w:rPr>
                <w:color w:val="000000"/>
                <w:sz w:val="22"/>
                <w:szCs w:val="22"/>
              </w:rPr>
            </w:pPr>
            <w:r>
              <w:rPr>
                <w:color w:val="000000"/>
                <w:kern w:val="0"/>
                <w:sz w:val="22"/>
                <w:szCs w:val="22"/>
                <w:lang w:bidi="ar"/>
              </w:rPr>
              <w:t>22.07%</w:t>
            </w:r>
          </w:p>
        </w:tc>
      </w:tr>
      <w:tr w:rsidR="00E617D7">
        <w:trPr>
          <w:trHeight w:val="285"/>
          <w:jc w:val="center"/>
        </w:trPr>
        <w:tc>
          <w:tcPr>
            <w:tcW w:w="3052" w:type="dxa"/>
            <w:shd w:val="clear" w:color="auto" w:fill="auto"/>
            <w:noWrap/>
            <w:vAlign w:val="center"/>
          </w:tcPr>
          <w:p w:rsidR="00E617D7" w:rsidRDefault="002A30C3">
            <w:pPr>
              <w:widowControl/>
              <w:spacing w:line="360" w:lineRule="auto"/>
              <w:jc w:val="left"/>
              <w:rPr>
                <w:kern w:val="0"/>
                <w:szCs w:val="21"/>
              </w:rPr>
            </w:pPr>
            <w:r>
              <w:rPr>
                <w:color w:val="000000"/>
                <w:kern w:val="0"/>
                <w:szCs w:val="21"/>
              </w:rPr>
              <w:t>营业利润</w:t>
            </w:r>
          </w:p>
        </w:tc>
        <w:tc>
          <w:tcPr>
            <w:tcW w:w="1824" w:type="dxa"/>
            <w:shd w:val="clear" w:color="auto" w:fill="auto"/>
            <w:noWrap/>
            <w:vAlign w:val="center"/>
          </w:tcPr>
          <w:p w:rsidR="00E617D7" w:rsidRDefault="002A30C3">
            <w:pPr>
              <w:jc w:val="right"/>
              <w:rPr>
                <w:color w:val="000000"/>
                <w:sz w:val="22"/>
                <w:szCs w:val="22"/>
              </w:rPr>
            </w:pPr>
            <w:r>
              <w:rPr>
                <w:color w:val="000000"/>
                <w:sz w:val="22"/>
                <w:szCs w:val="22"/>
              </w:rPr>
              <w:t>224,373,658.56</w:t>
            </w:r>
          </w:p>
        </w:tc>
        <w:tc>
          <w:tcPr>
            <w:tcW w:w="1824" w:type="dxa"/>
            <w:shd w:val="clear" w:color="auto" w:fill="auto"/>
            <w:noWrap/>
            <w:vAlign w:val="center"/>
          </w:tcPr>
          <w:p w:rsidR="00E617D7" w:rsidRDefault="002A30C3">
            <w:pPr>
              <w:jc w:val="right"/>
              <w:rPr>
                <w:color w:val="000000"/>
                <w:sz w:val="22"/>
                <w:szCs w:val="22"/>
              </w:rPr>
            </w:pPr>
            <w:r>
              <w:rPr>
                <w:color w:val="000000"/>
                <w:sz w:val="22"/>
                <w:szCs w:val="22"/>
              </w:rPr>
              <w:t>-51,531,771.29</w:t>
            </w:r>
          </w:p>
        </w:tc>
        <w:tc>
          <w:tcPr>
            <w:tcW w:w="1822" w:type="dxa"/>
            <w:shd w:val="clear" w:color="auto" w:fill="auto"/>
            <w:noWrap/>
            <w:vAlign w:val="center"/>
          </w:tcPr>
          <w:p w:rsidR="00E617D7" w:rsidRDefault="002A30C3">
            <w:pPr>
              <w:widowControl/>
              <w:jc w:val="right"/>
              <w:textAlignment w:val="center"/>
              <w:rPr>
                <w:color w:val="000000"/>
                <w:sz w:val="22"/>
                <w:szCs w:val="22"/>
              </w:rPr>
            </w:pPr>
            <w:r>
              <w:rPr>
                <w:color w:val="000000"/>
                <w:kern w:val="0"/>
                <w:sz w:val="22"/>
                <w:szCs w:val="22"/>
                <w:lang w:bidi="ar"/>
              </w:rPr>
              <w:t>535.41%</w:t>
            </w:r>
          </w:p>
        </w:tc>
      </w:tr>
      <w:tr w:rsidR="00E617D7">
        <w:trPr>
          <w:trHeight w:val="285"/>
          <w:jc w:val="center"/>
        </w:trPr>
        <w:tc>
          <w:tcPr>
            <w:tcW w:w="3052" w:type="dxa"/>
            <w:shd w:val="clear" w:color="auto" w:fill="auto"/>
            <w:noWrap/>
            <w:vAlign w:val="center"/>
          </w:tcPr>
          <w:p w:rsidR="00E617D7" w:rsidRDefault="002A30C3">
            <w:pPr>
              <w:widowControl/>
              <w:spacing w:line="360" w:lineRule="auto"/>
              <w:jc w:val="left"/>
              <w:rPr>
                <w:kern w:val="0"/>
                <w:szCs w:val="21"/>
              </w:rPr>
            </w:pPr>
            <w:r>
              <w:rPr>
                <w:color w:val="000000"/>
                <w:kern w:val="0"/>
                <w:szCs w:val="21"/>
              </w:rPr>
              <w:t>利润总额</w:t>
            </w:r>
          </w:p>
        </w:tc>
        <w:tc>
          <w:tcPr>
            <w:tcW w:w="1824" w:type="dxa"/>
            <w:shd w:val="clear" w:color="auto" w:fill="auto"/>
            <w:noWrap/>
            <w:vAlign w:val="center"/>
          </w:tcPr>
          <w:p w:rsidR="00E617D7" w:rsidRDefault="002A30C3">
            <w:pPr>
              <w:jc w:val="right"/>
              <w:rPr>
                <w:color w:val="000000"/>
                <w:sz w:val="22"/>
                <w:szCs w:val="22"/>
              </w:rPr>
            </w:pPr>
            <w:r>
              <w:rPr>
                <w:color w:val="000000"/>
                <w:sz w:val="22"/>
                <w:szCs w:val="22"/>
              </w:rPr>
              <w:t>225,825,104.02</w:t>
            </w:r>
          </w:p>
        </w:tc>
        <w:tc>
          <w:tcPr>
            <w:tcW w:w="1824" w:type="dxa"/>
            <w:shd w:val="clear" w:color="auto" w:fill="auto"/>
            <w:noWrap/>
            <w:vAlign w:val="center"/>
          </w:tcPr>
          <w:p w:rsidR="00E617D7" w:rsidRDefault="002A30C3">
            <w:pPr>
              <w:jc w:val="right"/>
              <w:rPr>
                <w:color w:val="000000"/>
                <w:sz w:val="22"/>
                <w:szCs w:val="22"/>
              </w:rPr>
            </w:pPr>
            <w:r>
              <w:rPr>
                <w:color w:val="000000"/>
                <w:sz w:val="22"/>
                <w:szCs w:val="22"/>
              </w:rPr>
              <w:t>-30,323,631.18</w:t>
            </w:r>
          </w:p>
        </w:tc>
        <w:tc>
          <w:tcPr>
            <w:tcW w:w="1822" w:type="dxa"/>
            <w:shd w:val="clear" w:color="auto" w:fill="auto"/>
            <w:noWrap/>
            <w:vAlign w:val="center"/>
          </w:tcPr>
          <w:p w:rsidR="00E617D7" w:rsidRDefault="002A30C3">
            <w:pPr>
              <w:widowControl/>
              <w:jc w:val="right"/>
              <w:textAlignment w:val="center"/>
              <w:rPr>
                <w:color w:val="000000"/>
                <w:sz w:val="22"/>
                <w:szCs w:val="22"/>
              </w:rPr>
            </w:pPr>
            <w:r>
              <w:rPr>
                <w:color w:val="000000"/>
                <w:kern w:val="0"/>
                <w:sz w:val="22"/>
                <w:szCs w:val="22"/>
                <w:lang w:bidi="ar"/>
              </w:rPr>
              <w:t>844.72%</w:t>
            </w:r>
          </w:p>
        </w:tc>
      </w:tr>
      <w:tr w:rsidR="00E617D7">
        <w:trPr>
          <w:trHeight w:val="285"/>
          <w:jc w:val="center"/>
        </w:trPr>
        <w:tc>
          <w:tcPr>
            <w:tcW w:w="3052" w:type="dxa"/>
            <w:shd w:val="clear" w:color="auto" w:fill="auto"/>
            <w:noWrap/>
            <w:vAlign w:val="center"/>
          </w:tcPr>
          <w:p w:rsidR="00E617D7" w:rsidRDefault="002A30C3">
            <w:pPr>
              <w:widowControl/>
              <w:spacing w:line="360" w:lineRule="auto"/>
              <w:jc w:val="left"/>
              <w:rPr>
                <w:kern w:val="0"/>
                <w:szCs w:val="21"/>
              </w:rPr>
            </w:pPr>
            <w:r>
              <w:rPr>
                <w:color w:val="000000"/>
                <w:kern w:val="0"/>
                <w:szCs w:val="21"/>
              </w:rPr>
              <w:t>净利润</w:t>
            </w:r>
          </w:p>
        </w:tc>
        <w:tc>
          <w:tcPr>
            <w:tcW w:w="1824" w:type="dxa"/>
            <w:shd w:val="clear" w:color="auto" w:fill="auto"/>
            <w:noWrap/>
            <w:vAlign w:val="center"/>
          </w:tcPr>
          <w:p w:rsidR="00E617D7" w:rsidRDefault="002A30C3">
            <w:pPr>
              <w:jc w:val="right"/>
              <w:rPr>
                <w:color w:val="000000"/>
                <w:sz w:val="22"/>
                <w:szCs w:val="22"/>
              </w:rPr>
            </w:pPr>
            <w:r>
              <w:rPr>
                <w:color w:val="000000"/>
                <w:sz w:val="22"/>
                <w:szCs w:val="22"/>
              </w:rPr>
              <w:t>197,002,552.95</w:t>
            </w:r>
          </w:p>
        </w:tc>
        <w:tc>
          <w:tcPr>
            <w:tcW w:w="1824" w:type="dxa"/>
            <w:shd w:val="clear" w:color="auto" w:fill="auto"/>
            <w:noWrap/>
            <w:vAlign w:val="center"/>
          </w:tcPr>
          <w:p w:rsidR="00E617D7" w:rsidRDefault="002A30C3">
            <w:pPr>
              <w:jc w:val="right"/>
              <w:rPr>
                <w:color w:val="000000"/>
                <w:sz w:val="22"/>
                <w:szCs w:val="22"/>
              </w:rPr>
            </w:pPr>
            <w:r>
              <w:rPr>
                <w:color w:val="000000"/>
                <w:sz w:val="22"/>
                <w:szCs w:val="22"/>
              </w:rPr>
              <w:t>-40,007,098.72</w:t>
            </w:r>
          </w:p>
        </w:tc>
        <w:tc>
          <w:tcPr>
            <w:tcW w:w="1822" w:type="dxa"/>
            <w:shd w:val="clear" w:color="auto" w:fill="auto"/>
            <w:noWrap/>
            <w:vAlign w:val="center"/>
          </w:tcPr>
          <w:p w:rsidR="00E617D7" w:rsidRDefault="002A30C3">
            <w:pPr>
              <w:widowControl/>
              <w:jc w:val="right"/>
              <w:textAlignment w:val="center"/>
              <w:rPr>
                <w:color w:val="000000"/>
                <w:sz w:val="22"/>
                <w:szCs w:val="22"/>
              </w:rPr>
            </w:pPr>
            <w:r>
              <w:rPr>
                <w:color w:val="000000"/>
                <w:kern w:val="0"/>
                <w:sz w:val="22"/>
                <w:szCs w:val="22"/>
                <w:lang w:bidi="ar"/>
              </w:rPr>
              <w:t>592.42%</w:t>
            </w:r>
          </w:p>
        </w:tc>
      </w:tr>
      <w:tr w:rsidR="00E617D7">
        <w:trPr>
          <w:trHeight w:val="285"/>
          <w:jc w:val="center"/>
        </w:trPr>
        <w:tc>
          <w:tcPr>
            <w:tcW w:w="3052" w:type="dxa"/>
            <w:shd w:val="clear" w:color="auto" w:fill="auto"/>
            <w:noWrap/>
            <w:vAlign w:val="center"/>
          </w:tcPr>
          <w:p w:rsidR="00E617D7" w:rsidRDefault="002A30C3">
            <w:pPr>
              <w:widowControl/>
              <w:spacing w:line="360" w:lineRule="auto"/>
              <w:jc w:val="left"/>
              <w:rPr>
                <w:kern w:val="0"/>
                <w:szCs w:val="21"/>
              </w:rPr>
            </w:pPr>
            <w:r>
              <w:rPr>
                <w:color w:val="000000"/>
                <w:kern w:val="0"/>
                <w:szCs w:val="21"/>
              </w:rPr>
              <w:t>归属于母公司所有者的净利润</w:t>
            </w:r>
          </w:p>
        </w:tc>
        <w:tc>
          <w:tcPr>
            <w:tcW w:w="1824" w:type="dxa"/>
            <w:shd w:val="clear" w:color="auto" w:fill="auto"/>
            <w:noWrap/>
            <w:vAlign w:val="center"/>
          </w:tcPr>
          <w:p w:rsidR="00E617D7" w:rsidRDefault="002A30C3">
            <w:pPr>
              <w:jc w:val="right"/>
              <w:rPr>
                <w:color w:val="000000"/>
                <w:sz w:val="22"/>
                <w:szCs w:val="22"/>
              </w:rPr>
            </w:pPr>
            <w:r>
              <w:rPr>
                <w:color w:val="000000"/>
                <w:sz w:val="22"/>
                <w:szCs w:val="22"/>
              </w:rPr>
              <w:t>191,643,022.93</w:t>
            </w:r>
          </w:p>
        </w:tc>
        <w:tc>
          <w:tcPr>
            <w:tcW w:w="1824" w:type="dxa"/>
            <w:shd w:val="clear" w:color="auto" w:fill="auto"/>
            <w:noWrap/>
            <w:vAlign w:val="center"/>
          </w:tcPr>
          <w:p w:rsidR="00E617D7" w:rsidRDefault="002A30C3">
            <w:pPr>
              <w:jc w:val="right"/>
              <w:rPr>
                <w:color w:val="000000"/>
                <w:sz w:val="22"/>
                <w:szCs w:val="22"/>
              </w:rPr>
            </w:pPr>
            <w:r>
              <w:rPr>
                <w:color w:val="000000"/>
                <w:sz w:val="22"/>
                <w:szCs w:val="22"/>
              </w:rPr>
              <w:t>-48,638,680.59</w:t>
            </w:r>
          </w:p>
        </w:tc>
        <w:tc>
          <w:tcPr>
            <w:tcW w:w="1822" w:type="dxa"/>
            <w:shd w:val="clear" w:color="auto" w:fill="auto"/>
            <w:noWrap/>
            <w:vAlign w:val="center"/>
          </w:tcPr>
          <w:p w:rsidR="00E617D7" w:rsidRDefault="002A30C3">
            <w:pPr>
              <w:widowControl/>
              <w:jc w:val="right"/>
              <w:textAlignment w:val="center"/>
              <w:rPr>
                <w:color w:val="000000"/>
                <w:sz w:val="22"/>
                <w:szCs w:val="22"/>
              </w:rPr>
            </w:pPr>
            <w:r>
              <w:rPr>
                <w:color w:val="000000"/>
                <w:kern w:val="0"/>
                <w:sz w:val="22"/>
                <w:szCs w:val="22"/>
                <w:lang w:bidi="ar"/>
              </w:rPr>
              <w:t>494.01%</w:t>
            </w:r>
          </w:p>
        </w:tc>
      </w:tr>
    </w:tbl>
    <w:p w:rsidR="00E617D7" w:rsidRDefault="002A30C3">
      <w:pPr>
        <w:pStyle w:val="Default"/>
        <w:spacing w:beforeLines="50" w:before="156" w:afterLines="50" w:after="156" w:line="360" w:lineRule="auto"/>
        <w:ind w:firstLineChars="200" w:firstLine="480"/>
        <w:rPr>
          <w:rFonts w:ascii="Times New Roman" w:eastAsia="宋体" w:cs="Times New Roman"/>
        </w:rPr>
      </w:pPr>
      <w:r>
        <w:rPr>
          <w:rFonts w:ascii="Times New Roman" w:eastAsia="宋体" w:cs="Times New Roman"/>
        </w:rPr>
        <w:t>3</w:t>
      </w:r>
      <w:r>
        <w:rPr>
          <w:rFonts w:ascii="Times New Roman" w:eastAsia="宋体" w:cs="Times New Roman"/>
        </w:rPr>
        <w:t>、合并现金流量表主要数据</w:t>
      </w:r>
    </w:p>
    <w:p w:rsidR="00E617D7" w:rsidRDefault="002A30C3">
      <w:pPr>
        <w:autoSpaceDE w:val="0"/>
        <w:autoSpaceDN w:val="0"/>
        <w:adjustRightInd w:val="0"/>
        <w:spacing w:beforeLines="50" w:before="156" w:afterLines="50" w:after="156" w:line="360" w:lineRule="auto"/>
        <w:jc w:val="right"/>
        <w:rPr>
          <w:color w:val="000000"/>
          <w:kern w:val="0"/>
          <w:sz w:val="24"/>
        </w:rPr>
      </w:pPr>
      <w:r>
        <w:rPr>
          <w:kern w:val="0"/>
          <w:sz w:val="24"/>
        </w:rPr>
        <w:t>单位：元</w:t>
      </w:r>
    </w:p>
    <w:tbl>
      <w:tblPr>
        <w:tblW w:w="85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946"/>
        <w:gridCol w:w="1857"/>
        <w:gridCol w:w="1859"/>
        <w:gridCol w:w="1860"/>
      </w:tblGrid>
      <w:tr w:rsidR="00E617D7">
        <w:trPr>
          <w:trHeight w:val="285"/>
          <w:jc w:val="center"/>
        </w:trPr>
        <w:tc>
          <w:tcPr>
            <w:tcW w:w="2946" w:type="dxa"/>
            <w:shd w:val="clear" w:color="auto" w:fill="auto"/>
            <w:noWrap/>
            <w:vAlign w:val="center"/>
          </w:tcPr>
          <w:p w:rsidR="00E617D7" w:rsidRDefault="002A30C3">
            <w:pPr>
              <w:widowControl/>
              <w:spacing w:line="360" w:lineRule="auto"/>
              <w:jc w:val="center"/>
              <w:rPr>
                <w:b/>
                <w:kern w:val="0"/>
                <w:szCs w:val="21"/>
              </w:rPr>
            </w:pPr>
            <w:r>
              <w:rPr>
                <w:b/>
                <w:color w:val="000000"/>
                <w:kern w:val="0"/>
                <w:szCs w:val="21"/>
              </w:rPr>
              <w:t>项目</w:t>
            </w:r>
          </w:p>
        </w:tc>
        <w:tc>
          <w:tcPr>
            <w:tcW w:w="1857" w:type="dxa"/>
            <w:shd w:val="clear" w:color="auto" w:fill="auto"/>
            <w:noWrap/>
            <w:vAlign w:val="center"/>
          </w:tcPr>
          <w:p w:rsidR="00E617D7" w:rsidRDefault="002A30C3">
            <w:pPr>
              <w:widowControl/>
              <w:spacing w:line="360" w:lineRule="auto"/>
              <w:jc w:val="center"/>
              <w:rPr>
                <w:b/>
                <w:kern w:val="0"/>
                <w:szCs w:val="21"/>
              </w:rPr>
            </w:pPr>
            <w:r>
              <w:rPr>
                <w:b/>
                <w:color w:val="000000"/>
                <w:kern w:val="0"/>
                <w:szCs w:val="21"/>
              </w:rPr>
              <w:t>201</w:t>
            </w:r>
            <w:r>
              <w:rPr>
                <w:b/>
                <w:color w:val="000000"/>
                <w:kern w:val="0"/>
                <w:szCs w:val="21"/>
              </w:rPr>
              <w:t>8</w:t>
            </w:r>
            <w:r>
              <w:rPr>
                <w:b/>
                <w:color w:val="000000"/>
                <w:kern w:val="0"/>
                <w:szCs w:val="21"/>
              </w:rPr>
              <w:t>年度</w:t>
            </w:r>
          </w:p>
        </w:tc>
        <w:tc>
          <w:tcPr>
            <w:tcW w:w="1859" w:type="dxa"/>
            <w:shd w:val="clear" w:color="auto" w:fill="auto"/>
            <w:noWrap/>
            <w:vAlign w:val="center"/>
          </w:tcPr>
          <w:p w:rsidR="00E617D7" w:rsidRDefault="002A30C3">
            <w:pPr>
              <w:widowControl/>
              <w:spacing w:line="360" w:lineRule="auto"/>
              <w:jc w:val="center"/>
              <w:rPr>
                <w:b/>
                <w:kern w:val="0"/>
                <w:szCs w:val="21"/>
              </w:rPr>
            </w:pPr>
            <w:r>
              <w:rPr>
                <w:b/>
                <w:color w:val="000000"/>
                <w:kern w:val="0"/>
                <w:szCs w:val="21"/>
              </w:rPr>
              <w:t>201</w:t>
            </w:r>
            <w:r>
              <w:rPr>
                <w:b/>
                <w:color w:val="000000"/>
                <w:kern w:val="0"/>
                <w:szCs w:val="21"/>
              </w:rPr>
              <w:t>7</w:t>
            </w:r>
            <w:r>
              <w:rPr>
                <w:b/>
                <w:color w:val="000000"/>
                <w:kern w:val="0"/>
                <w:szCs w:val="21"/>
              </w:rPr>
              <w:t>年度</w:t>
            </w:r>
          </w:p>
        </w:tc>
        <w:tc>
          <w:tcPr>
            <w:tcW w:w="1860" w:type="dxa"/>
            <w:shd w:val="clear" w:color="auto" w:fill="auto"/>
            <w:noWrap/>
            <w:vAlign w:val="center"/>
          </w:tcPr>
          <w:p w:rsidR="00E617D7" w:rsidRDefault="002A30C3">
            <w:pPr>
              <w:widowControl/>
              <w:spacing w:line="360" w:lineRule="auto"/>
              <w:jc w:val="center"/>
              <w:rPr>
                <w:b/>
                <w:kern w:val="0"/>
                <w:szCs w:val="21"/>
              </w:rPr>
            </w:pPr>
            <w:r>
              <w:rPr>
                <w:b/>
                <w:color w:val="000000"/>
                <w:kern w:val="0"/>
                <w:szCs w:val="21"/>
              </w:rPr>
              <w:t>增减率</w:t>
            </w:r>
          </w:p>
        </w:tc>
      </w:tr>
      <w:tr w:rsidR="00E617D7">
        <w:trPr>
          <w:trHeight w:val="285"/>
          <w:jc w:val="center"/>
        </w:trPr>
        <w:tc>
          <w:tcPr>
            <w:tcW w:w="2946" w:type="dxa"/>
            <w:shd w:val="clear" w:color="auto" w:fill="auto"/>
            <w:noWrap/>
            <w:vAlign w:val="center"/>
          </w:tcPr>
          <w:p w:rsidR="00E617D7" w:rsidRDefault="002A30C3">
            <w:pPr>
              <w:widowControl/>
              <w:spacing w:line="360" w:lineRule="auto"/>
              <w:jc w:val="left"/>
              <w:rPr>
                <w:kern w:val="0"/>
                <w:szCs w:val="21"/>
              </w:rPr>
            </w:pPr>
            <w:r>
              <w:rPr>
                <w:color w:val="000000"/>
                <w:kern w:val="0"/>
                <w:szCs w:val="21"/>
              </w:rPr>
              <w:t>经营活动产生的现金流量净额</w:t>
            </w:r>
          </w:p>
        </w:tc>
        <w:tc>
          <w:tcPr>
            <w:tcW w:w="1857" w:type="dxa"/>
            <w:shd w:val="clear" w:color="auto" w:fill="auto"/>
            <w:noWrap/>
            <w:vAlign w:val="center"/>
          </w:tcPr>
          <w:p w:rsidR="00E617D7" w:rsidRDefault="002A30C3">
            <w:pPr>
              <w:jc w:val="right"/>
              <w:rPr>
                <w:color w:val="000000"/>
                <w:sz w:val="22"/>
                <w:szCs w:val="22"/>
              </w:rPr>
            </w:pPr>
            <w:r>
              <w:rPr>
                <w:color w:val="000000"/>
                <w:sz w:val="22"/>
                <w:szCs w:val="22"/>
              </w:rPr>
              <w:t>517,667,103.35</w:t>
            </w:r>
          </w:p>
        </w:tc>
        <w:tc>
          <w:tcPr>
            <w:tcW w:w="1859" w:type="dxa"/>
            <w:shd w:val="clear" w:color="auto" w:fill="auto"/>
            <w:noWrap/>
            <w:vAlign w:val="center"/>
          </w:tcPr>
          <w:p w:rsidR="00E617D7" w:rsidRDefault="002A30C3">
            <w:pPr>
              <w:jc w:val="right"/>
              <w:rPr>
                <w:color w:val="000000"/>
                <w:sz w:val="22"/>
                <w:szCs w:val="22"/>
              </w:rPr>
            </w:pPr>
            <w:r>
              <w:rPr>
                <w:color w:val="000000"/>
                <w:sz w:val="22"/>
                <w:szCs w:val="22"/>
              </w:rPr>
              <w:t>389,795,893.34</w:t>
            </w:r>
          </w:p>
        </w:tc>
        <w:tc>
          <w:tcPr>
            <w:tcW w:w="1860" w:type="dxa"/>
            <w:shd w:val="clear" w:color="auto" w:fill="auto"/>
            <w:noWrap/>
            <w:vAlign w:val="center"/>
          </w:tcPr>
          <w:p w:rsidR="00E617D7" w:rsidRDefault="002A30C3">
            <w:pPr>
              <w:widowControl/>
              <w:jc w:val="right"/>
              <w:textAlignment w:val="center"/>
              <w:rPr>
                <w:color w:val="000000"/>
                <w:sz w:val="22"/>
                <w:szCs w:val="22"/>
              </w:rPr>
            </w:pPr>
            <w:r>
              <w:rPr>
                <w:color w:val="000000"/>
                <w:kern w:val="0"/>
                <w:sz w:val="22"/>
                <w:szCs w:val="22"/>
                <w:lang w:bidi="ar"/>
              </w:rPr>
              <w:t>32.80%</w:t>
            </w:r>
          </w:p>
        </w:tc>
      </w:tr>
      <w:tr w:rsidR="00E617D7">
        <w:trPr>
          <w:trHeight w:val="285"/>
          <w:jc w:val="center"/>
        </w:trPr>
        <w:tc>
          <w:tcPr>
            <w:tcW w:w="2946" w:type="dxa"/>
            <w:shd w:val="clear" w:color="auto" w:fill="auto"/>
            <w:noWrap/>
            <w:vAlign w:val="center"/>
          </w:tcPr>
          <w:p w:rsidR="00E617D7" w:rsidRDefault="002A30C3">
            <w:pPr>
              <w:widowControl/>
              <w:spacing w:line="360" w:lineRule="auto"/>
              <w:jc w:val="left"/>
              <w:rPr>
                <w:kern w:val="0"/>
                <w:szCs w:val="21"/>
              </w:rPr>
            </w:pPr>
            <w:r>
              <w:rPr>
                <w:color w:val="000000"/>
                <w:kern w:val="0"/>
                <w:szCs w:val="21"/>
              </w:rPr>
              <w:t>投资活动产生的现金流量净额</w:t>
            </w:r>
          </w:p>
        </w:tc>
        <w:tc>
          <w:tcPr>
            <w:tcW w:w="1857" w:type="dxa"/>
            <w:shd w:val="clear" w:color="auto" w:fill="auto"/>
            <w:noWrap/>
            <w:vAlign w:val="center"/>
          </w:tcPr>
          <w:p w:rsidR="00E617D7" w:rsidRDefault="002A30C3">
            <w:pPr>
              <w:jc w:val="right"/>
              <w:rPr>
                <w:color w:val="000000"/>
                <w:sz w:val="22"/>
                <w:szCs w:val="22"/>
              </w:rPr>
            </w:pPr>
            <w:r>
              <w:rPr>
                <w:color w:val="000000"/>
                <w:sz w:val="22"/>
                <w:szCs w:val="22"/>
              </w:rPr>
              <w:t>-45,140,683.86</w:t>
            </w:r>
          </w:p>
        </w:tc>
        <w:tc>
          <w:tcPr>
            <w:tcW w:w="1859" w:type="dxa"/>
            <w:shd w:val="clear" w:color="auto" w:fill="auto"/>
            <w:noWrap/>
            <w:vAlign w:val="center"/>
          </w:tcPr>
          <w:p w:rsidR="00E617D7" w:rsidRDefault="002A30C3">
            <w:pPr>
              <w:jc w:val="right"/>
              <w:rPr>
                <w:color w:val="000000"/>
                <w:sz w:val="22"/>
                <w:szCs w:val="22"/>
              </w:rPr>
            </w:pPr>
            <w:r>
              <w:rPr>
                <w:color w:val="000000"/>
                <w:sz w:val="22"/>
                <w:szCs w:val="22"/>
              </w:rPr>
              <w:t>353,469,641.29</w:t>
            </w:r>
          </w:p>
        </w:tc>
        <w:tc>
          <w:tcPr>
            <w:tcW w:w="1860" w:type="dxa"/>
            <w:shd w:val="clear" w:color="auto" w:fill="auto"/>
            <w:noWrap/>
            <w:vAlign w:val="center"/>
          </w:tcPr>
          <w:p w:rsidR="00E617D7" w:rsidRDefault="002A30C3">
            <w:pPr>
              <w:widowControl/>
              <w:jc w:val="right"/>
              <w:textAlignment w:val="center"/>
              <w:rPr>
                <w:color w:val="000000"/>
                <w:sz w:val="22"/>
                <w:szCs w:val="22"/>
              </w:rPr>
            </w:pPr>
            <w:r>
              <w:rPr>
                <w:color w:val="000000"/>
                <w:kern w:val="0"/>
                <w:sz w:val="22"/>
                <w:szCs w:val="22"/>
                <w:lang w:bidi="ar"/>
              </w:rPr>
              <w:t>-112.77%</w:t>
            </w:r>
          </w:p>
        </w:tc>
      </w:tr>
      <w:tr w:rsidR="00E617D7">
        <w:trPr>
          <w:trHeight w:val="285"/>
          <w:jc w:val="center"/>
        </w:trPr>
        <w:tc>
          <w:tcPr>
            <w:tcW w:w="2946" w:type="dxa"/>
            <w:shd w:val="clear" w:color="auto" w:fill="auto"/>
            <w:noWrap/>
            <w:vAlign w:val="center"/>
          </w:tcPr>
          <w:p w:rsidR="00E617D7" w:rsidRDefault="002A30C3">
            <w:pPr>
              <w:widowControl/>
              <w:spacing w:line="360" w:lineRule="auto"/>
              <w:jc w:val="left"/>
              <w:rPr>
                <w:kern w:val="0"/>
                <w:szCs w:val="21"/>
              </w:rPr>
            </w:pPr>
            <w:r>
              <w:rPr>
                <w:color w:val="000000"/>
                <w:kern w:val="0"/>
                <w:szCs w:val="21"/>
              </w:rPr>
              <w:t>筹资活动产生的现金流量净额</w:t>
            </w:r>
          </w:p>
        </w:tc>
        <w:tc>
          <w:tcPr>
            <w:tcW w:w="1857" w:type="dxa"/>
            <w:shd w:val="clear" w:color="auto" w:fill="auto"/>
            <w:noWrap/>
            <w:vAlign w:val="center"/>
          </w:tcPr>
          <w:p w:rsidR="00E617D7" w:rsidRDefault="002A30C3">
            <w:pPr>
              <w:jc w:val="right"/>
              <w:rPr>
                <w:color w:val="000000"/>
                <w:sz w:val="22"/>
                <w:szCs w:val="22"/>
              </w:rPr>
            </w:pPr>
            <w:r>
              <w:rPr>
                <w:color w:val="000000"/>
                <w:sz w:val="22"/>
                <w:szCs w:val="22"/>
              </w:rPr>
              <w:t>-335,804,351.77</w:t>
            </w:r>
          </w:p>
        </w:tc>
        <w:tc>
          <w:tcPr>
            <w:tcW w:w="1859" w:type="dxa"/>
            <w:shd w:val="clear" w:color="auto" w:fill="auto"/>
            <w:noWrap/>
            <w:vAlign w:val="center"/>
          </w:tcPr>
          <w:p w:rsidR="00E617D7" w:rsidRDefault="002A30C3">
            <w:pPr>
              <w:jc w:val="right"/>
              <w:rPr>
                <w:color w:val="000000"/>
                <w:sz w:val="22"/>
                <w:szCs w:val="22"/>
              </w:rPr>
            </w:pPr>
            <w:r>
              <w:rPr>
                <w:color w:val="000000"/>
                <w:sz w:val="22"/>
                <w:szCs w:val="22"/>
              </w:rPr>
              <w:t>-767,655,421.29</w:t>
            </w:r>
          </w:p>
        </w:tc>
        <w:tc>
          <w:tcPr>
            <w:tcW w:w="1860" w:type="dxa"/>
            <w:shd w:val="clear" w:color="auto" w:fill="auto"/>
            <w:noWrap/>
            <w:vAlign w:val="center"/>
          </w:tcPr>
          <w:p w:rsidR="00E617D7" w:rsidRDefault="002A30C3">
            <w:pPr>
              <w:widowControl/>
              <w:jc w:val="right"/>
              <w:textAlignment w:val="center"/>
              <w:rPr>
                <w:color w:val="000000"/>
                <w:sz w:val="22"/>
                <w:szCs w:val="22"/>
              </w:rPr>
            </w:pPr>
            <w:r>
              <w:rPr>
                <w:color w:val="000000"/>
                <w:kern w:val="0"/>
                <w:sz w:val="22"/>
                <w:szCs w:val="22"/>
                <w:lang w:bidi="ar"/>
              </w:rPr>
              <w:t>56.26%</w:t>
            </w:r>
          </w:p>
        </w:tc>
      </w:tr>
    </w:tbl>
    <w:p w:rsidR="00E617D7" w:rsidRDefault="002A30C3">
      <w:pPr>
        <w:widowControl/>
        <w:jc w:val="left"/>
        <w:rPr>
          <w:color w:val="000000"/>
          <w:kern w:val="0"/>
          <w:sz w:val="24"/>
        </w:rPr>
      </w:pPr>
      <w:r>
        <w:br w:type="page"/>
      </w:r>
    </w:p>
    <w:p w:rsidR="00E617D7" w:rsidRDefault="002A30C3">
      <w:pPr>
        <w:pStyle w:val="1"/>
        <w:jc w:val="center"/>
        <w:rPr>
          <w:sz w:val="28"/>
          <w:szCs w:val="28"/>
        </w:rPr>
      </w:pPr>
      <w:bookmarkStart w:id="8" w:name="_Toc30584"/>
      <w:r>
        <w:rPr>
          <w:sz w:val="28"/>
          <w:szCs w:val="28"/>
        </w:rPr>
        <w:lastRenderedPageBreak/>
        <w:t>第四章</w:t>
      </w:r>
      <w:r>
        <w:rPr>
          <w:sz w:val="28"/>
          <w:szCs w:val="28"/>
        </w:rPr>
        <w:t xml:space="preserve"> </w:t>
      </w:r>
      <w:r>
        <w:rPr>
          <w:sz w:val="28"/>
          <w:szCs w:val="28"/>
        </w:rPr>
        <w:t>发行人募集资金使用情况</w:t>
      </w:r>
      <w:bookmarkEnd w:id="8"/>
    </w:p>
    <w:p w:rsidR="00E617D7" w:rsidRDefault="002A30C3">
      <w:pPr>
        <w:autoSpaceDE w:val="0"/>
        <w:autoSpaceDN w:val="0"/>
        <w:adjustRightInd w:val="0"/>
        <w:spacing w:beforeLines="50" w:before="156" w:afterLines="50" w:after="156" w:line="360" w:lineRule="auto"/>
        <w:jc w:val="left"/>
        <w:rPr>
          <w:b/>
          <w:color w:val="000000"/>
          <w:kern w:val="0"/>
          <w:sz w:val="24"/>
        </w:rPr>
      </w:pPr>
      <w:r>
        <w:rPr>
          <w:b/>
          <w:color w:val="000000"/>
          <w:kern w:val="0"/>
          <w:sz w:val="24"/>
        </w:rPr>
        <w:t>一、</w:t>
      </w:r>
      <w:r>
        <w:rPr>
          <w:b/>
          <w:color w:val="000000"/>
          <w:kern w:val="0"/>
          <w:sz w:val="24"/>
        </w:rPr>
        <w:t xml:space="preserve"> </w:t>
      </w:r>
      <w:r>
        <w:rPr>
          <w:b/>
          <w:color w:val="000000"/>
          <w:kern w:val="0"/>
          <w:sz w:val="24"/>
        </w:rPr>
        <w:t>本期公司债券募集资金情况</w:t>
      </w:r>
      <w:r>
        <w:rPr>
          <w:b/>
          <w:color w:val="000000"/>
          <w:kern w:val="0"/>
          <w:sz w:val="24"/>
        </w:rPr>
        <w:t xml:space="preserve"> </w:t>
      </w:r>
    </w:p>
    <w:p w:rsidR="00E617D7" w:rsidRDefault="002A30C3">
      <w:pPr>
        <w:autoSpaceDE w:val="0"/>
        <w:autoSpaceDN w:val="0"/>
        <w:adjustRightInd w:val="0"/>
        <w:spacing w:beforeLines="50" w:before="156" w:afterLines="50" w:after="156" w:line="360" w:lineRule="auto"/>
        <w:ind w:firstLineChars="200" w:firstLine="480"/>
        <w:jc w:val="left"/>
        <w:rPr>
          <w:color w:val="000000"/>
          <w:kern w:val="0"/>
          <w:sz w:val="24"/>
        </w:rPr>
      </w:pPr>
      <w:r>
        <w:rPr>
          <w:color w:val="000000"/>
          <w:kern w:val="0"/>
          <w:sz w:val="24"/>
        </w:rPr>
        <w:t>发行人经中国证券监督管理委员会《关于核准云南煤业能源股份有限公司公开发行公司债券的批复》（证监许可</w:t>
      </w:r>
      <w:r>
        <w:rPr>
          <w:color w:val="000000"/>
          <w:kern w:val="0"/>
          <w:sz w:val="24"/>
        </w:rPr>
        <w:t>[2013]708</w:t>
      </w:r>
      <w:r>
        <w:rPr>
          <w:color w:val="000000"/>
          <w:kern w:val="0"/>
          <w:sz w:val="24"/>
        </w:rPr>
        <w:t>号）核准，公司于</w:t>
      </w:r>
      <w:r>
        <w:rPr>
          <w:color w:val="000000"/>
          <w:kern w:val="0"/>
          <w:sz w:val="24"/>
        </w:rPr>
        <w:t>2013</w:t>
      </w:r>
      <w:r>
        <w:rPr>
          <w:color w:val="000000"/>
          <w:kern w:val="0"/>
          <w:sz w:val="24"/>
        </w:rPr>
        <w:t>年</w:t>
      </w:r>
      <w:r>
        <w:rPr>
          <w:color w:val="000000"/>
          <w:kern w:val="0"/>
          <w:sz w:val="24"/>
        </w:rPr>
        <w:t>12</w:t>
      </w:r>
      <w:r>
        <w:rPr>
          <w:color w:val="000000"/>
          <w:kern w:val="0"/>
          <w:sz w:val="24"/>
        </w:rPr>
        <w:t>月</w:t>
      </w:r>
      <w:r>
        <w:rPr>
          <w:color w:val="000000"/>
          <w:kern w:val="0"/>
          <w:sz w:val="24"/>
        </w:rPr>
        <w:t>3</w:t>
      </w:r>
      <w:r>
        <w:rPr>
          <w:color w:val="000000"/>
          <w:kern w:val="0"/>
          <w:sz w:val="24"/>
        </w:rPr>
        <w:t>日至</w:t>
      </w:r>
      <w:r>
        <w:rPr>
          <w:color w:val="000000"/>
          <w:kern w:val="0"/>
          <w:sz w:val="24"/>
        </w:rPr>
        <w:t>2013</w:t>
      </w:r>
      <w:r>
        <w:rPr>
          <w:color w:val="000000"/>
          <w:kern w:val="0"/>
          <w:sz w:val="24"/>
        </w:rPr>
        <w:t>年</w:t>
      </w:r>
      <w:r>
        <w:rPr>
          <w:color w:val="000000"/>
          <w:kern w:val="0"/>
          <w:sz w:val="24"/>
        </w:rPr>
        <w:t>12</w:t>
      </w:r>
      <w:r>
        <w:rPr>
          <w:color w:val="000000"/>
          <w:kern w:val="0"/>
          <w:sz w:val="24"/>
        </w:rPr>
        <w:t>月</w:t>
      </w:r>
      <w:r>
        <w:rPr>
          <w:color w:val="000000"/>
          <w:kern w:val="0"/>
          <w:sz w:val="24"/>
        </w:rPr>
        <w:t>9</w:t>
      </w:r>
      <w:r>
        <w:rPr>
          <w:color w:val="000000"/>
          <w:kern w:val="0"/>
          <w:sz w:val="24"/>
        </w:rPr>
        <w:t>日向社会公开发行面值</w:t>
      </w:r>
      <w:r>
        <w:rPr>
          <w:color w:val="000000"/>
          <w:kern w:val="0"/>
          <w:sz w:val="24"/>
        </w:rPr>
        <w:t>2.5</w:t>
      </w:r>
      <w:r>
        <w:rPr>
          <w:color w:val="000000"/>
          <w:kern w:val="0"/>
          <w:sz w:val="24"/>
        </w:rPr>
        <w:t>亿元的公司债券。债券期限为</w:t>
      </w:r>
      <w:r>
        <w:rPr>
          <w:color w:val="000000"/>
          <w:kern w:val="0"/>
          <w:sz w:val="24"/>
        </w:rPr>
        <w:t>7</w:t>
      </w:r>
      <w:r>
        <w:rPr>
          <w:color w:val="000000"/>
          <w:kern w:val="0"/>
          <w:sz w:val="24"/>
        </w:rPr>
        <w:t>年，第</w:t>
      </w:r>
      <w:r>
        <w:rPr>
          <w:color w:val="000000"/>
          <w:kern w:val="0"/>
          <w:sz w:val="24"/>
        </w:rPr>
        <w:t>5</w:t>
      </w:r>
      <w:r>
        <w:rPr>
          <w:color w:val="000000"/>
          <w:kern w:val="0"/>
          <w:sz w:val="24"/>
        </w:rPr>
        <w:t>年末附发行人上调票面利率选择权和投资者回售选择权。债券票面利率为</w:t>
      </w:r>
      <w:r>
        <w:rPr>
          <w:color w:val="000000"/>
          <w:kern w:val="0"/>
          <w:sz w:val="24"/>
        </w:rPr>
        <w:t>7.80%</w:t>
      </w:r>
      <w:r>
        <w:rPr>
          <w:color w:val="000000"/>
          <w:kern w:val="0"/>
          <w:sz w:val="24"/>
        </w:rPr>
        <w:t>，募集资金净额</w:t>
      </w:r>
      <w:r>
        <w:rPr>
          <w:color w:val="000000"/>
          <w:kern w:val="0"/>
          <w:sz w:val="24"/>
        </w:rPr>
        <w:t>24,783.00</w:t>
      </w:r>
      <w:r>
        <w:rPr>
          <w:color w:val="000000"/>
          <w:kern w:val="0"/>
          <w:sz w:val="24"/>
        </w:rPr>
        <w:t>万元。此次募集资金经中审亚太会计师事务所审验，并出具《关于对云南煤业能源股份有限公司</w:t>
      </w:r>
      <w:r>
        <w:rPr>
          <w:color w:val="000000"/>
          <w:kern w:val="0"/>
          <w:sz w:val="24"/>
        </w:rPr>
        <w:t>2013</w:t>
      </w:r>
      <w:r>
        <w:rPr>
          <w:color w:val="000000"/>
          <w:kern w:val="0"/>
          <w:sz w:val="24"/>
        </w:rPr>
        <w:t>年公司债募集资金到位情况的验证报告》（中审亚太鉴</w:t>
      </w:r>
      <w:r>
        <w:rPr>
          <w:color w:val="000000"/>
          <w:kern w:val="0"/>
          <w:sz w:val="24"/>
        </w:rPr>
        <w:t>[2013]020053</w:t>
      </w:r>
      <w:r>
        <w:rPr>
          <w:color w:val="000000"/>
          <w:kern w:val="0"/>
          <w:sz w:val="24"/>
        </w:rPr>
        <w:t>号）。公</w:t>
      </w:r>
      <w:r>
        <w:rPr>
          <w:color w:val="000000"/>
          <w:kern w:val="0"/>
          <w:sz w:val="24"/>
        </w:rPr>
        <w:t>司发行的公司债券业经上海证券交易所同意，于</w:t>
      </w:r>
      <w:r>
        <w:rPr>
          <w:color w:val="000000"/>
          <w:kern w:val="0"/>
          <w:sz w:val="24"/>
        </w:rPr>
        <w:t>2013</w:t>
      </w:r>
      <w:r>
        <w:rPr>
          <w:color w:val="000000"/>
          <w:kern w:val="0"/>
          <w:sz w:val="24"/>
        </w:rPr>
        <w:t>年</w:t>
      </w:r>
      <w:r>
        <w:rPr>
          <w:color w:val="000000"/>
          <w:kern w:val="0"/>
          <w:sz w:val="24"/>
        </w:rPr>
        <w:t>12</w:t>
      </w:r>
      <w:r>
        <w:rPr>
          <w:color w:val="000000"/>
          <w:kern w:val="0"/>
          <w:sz w:val="24"/>
        </w:rPr>
        <w:t>月</w:t>
      </w:r>
      <w:r>
        <w:rPr>
          <w:color w:val="000000"/>
          <w:kern w:val="0"/>
          <w:sz w:val="24"/>
        </w:rPr>
        <w:t>18</w:t>
      </w:r>
      <w:r>
        <w:rPr>
          <w:color w:val="000000"/>
          <w:kern w:val="0"/>
          <w:sz w:val="24"/>
        </w:rPr>
        <w:t>日起在上海证券交易所挂牌交易，证券简称</w:t>
      </w:r>
      <w:r>
        <w:rPr>
          <w:color w:val="000000"/>
          <w:kern w:val="0"/>
          <w:sz w:val="24"/>
        </w:rPr>
        <w:t>“13</w:t>
      </w:r>
      <w:r>
        <w:rPr>
          <w:color w:val="000000"/>
          <w:kern w:val="0"/>
          <w:sz w:val="24"/>
        </w:rPr>
        <w:t>云煤业</w:t>
      </w:r>
      <w:r>
        <w:rPr>
          <w:color w:val="000000"/>
          <w:kern w:val="0"/>
          <w:sz w:val="24"/>
        </w:rPr>
        <w:t>”</w:t>
      </w:r>
      <w:r>
        <w:rPr>
          <w:color w:val="000000"/>
          <w:kern w:val="0"/>
          <w:sz w:val="24"/>
        </w:rPr>
        <w:t>，证券代码</w:t>
      </w:r>
      <w:r>
        <w:rPr>
          <w:color w:val="000000"/>
          <w:kern w:val="0"/>
          <w:sz w:val="24"/>
        </w:rPr>
        <w:t>“122258”</w:t>
      </w:r>
      <w:r>
        <w:rPr>
          <w:color w:val="000000"/>
          <w:kern w:val="0"/>
          <w:sz w:val="24"/>
        </w:rPr>
        <w:t>。</w:t>
      </w:r>
    </w:p>
    <w:p w:rsidR="00E617D7" w:rsidRDefault="002A30C3">
      <w:pPr>
        <w:autoSpaceDE w:val="0"/>
        <w:autoSpaceDN w:val="0"/>
        <w:adjustRightInd w:val="0"/>
        <w:spacing w:beforeLines="50" w:before="156" w:afterLines="50" w:after="156" w:line="360" w:lineRule="auto"/>
        <w:ind w:firstLineChars="200" w:firstLine="480"/>
        <w:jc w:val="left"/>
        <w:rPr>
          <w:color w:val="000000"/>
          <w:kern w:val="0"/>
          <w:sz w:val="24"/>
        </w:rPr>
      </w:pPr>
      <w:r>
        <w:rPr>
          <w:color w:val="000000"/>
          <w:kern w:val="0"/>
          <w:sz w:val="24"/>
        </w:rPr>
        <w:t>根据本期债券募集说明书的相关内容，根据公司的财务状况和资金需求情况，本次募集资金全部用于偿还银行借款，调整并优化公司负债结构。</w:t>
      </w:r>
    </w:p>
    <w:p w:rsidR="00E617D7" w:rsidRDefault="002A30C3">
      <w:pPr>
        <w:autoSpaceDE w:val="0"/>
        <w:autoSpaceDN w:val="0"/>
        <w:adjustRightInd w:val="0"/>
        <w:spacing w:beforeLines="50" w:before="156" w:afterLines="50" w:after="156" w:line="360" w:lineRule="auto"/>
        <w:jc w:val="left"/>
        <w:rPr>
          <w:b/>
          <w:color w:val="000000"/>
          <w:kern w:val="0"/>
          <w:sz w:val="24"/>
        </w:rPr>
      </w:pPr>
      <w:r>
        <w:rPr>
          <w:b/>
          <w:color w:val="000000"/>
          <w:kern w:val="0"/>
          <w:sz w:val="24"/>
        </w:rPr>
        <w:t>二、</w:t>
      </w:r>
      <w:r>
        <w:rPr>
          <w:b/>
          <w:color w:val="000000"/>
          <w:kern w:val="0"/>
          <w:sz w:val="24"/>
        </w:rPr>
        <w:t xml:space="preserve"> </w:t>
      </w:r>
      <w:r>
        <w:rPr>
          <w:b/>
          <w:color w:val="000000"/>
          <w:kern w:val="0"/>
          <w:sz w:val="24"/>
        </w:rPr>
        <w:t>本期公司债券募集资金实际使用情况</w:t>
      </w:r>
      <w:r>
        <w:rPr>
          <w:b/>
          <w:color w:val="000000"/>
          <w:kern w:val="0"/>
          <w:sz w:val="24"/>
        </w:rPr>
        <w:t xml:space="preserve"> </w:t>
      </w:r>
    </w:p>
    <w:p w:rsidR="00E617D7" w:rsidRDefault="002A30C3">
      <w:pPr>
        <w:spacing w:beforeLines="50" w:before="156" w:afterLines="50" w:after="156" w:line="360" w:lineRule="auto"/>
        <w:ind w:firstLineChars="200" w:firstLine="480"/>
        <w:rPr>
          <w:color w:val="000000"/>
          <w:kern w:val="0"/>
          <w:sz w:val="24"/>
        </w:rPr>
      </w:pPr>
      <w:r>
        <w:rPr>
          <w:color w:val="000000"/>
          <w:kern w:val="0"/>
          <w:sz w:val="24"/>
        </w:rPr>
        <w:t>根据发行人的相关说明，本期公司债券募集资金均按本期债券披露的使用用途专款专用，其中已用于偿还银行借款</w:t>
      </w:r>
      <w:r>
        <w:rPr>
          <w:color w:val="000000"/>
          <w:kern w:val="0"/>
          <w:sz w:val="24"/>
        </w:rPr>
        <w:t>25,000</w:t>
      </w:r>
      <w:r>
        <w:rPr>
          <w:color w:val="000000"/>
          <w:kern w:val="0"/>
          <w:sz w:val="24"/>
        </w:rPr>
        <w:t>万元。具体如下表所示：</w:t>
      </w:r>
    </w:p>
    <w:tbl>
      <w:tblPr>
        <w:tblW w:w="85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840"/>
        <w:gridCol w:w="2841"/>
        <w:gridCol w:w="2841"/>
      </w:tblGrid>
      <w:tr w:rsidR="00E617D7">
        <w:trPr>
          <w:trHeight w:val="285"/>
          <w:jc w:val="center"/>
        </w:trPr>
        <w:tc>
          <w:tcPr>
            <w:tcW w:w="2840" w:type="dxa"/>
          </w:tcPr>
          <w:p w:rsidR="00E617D7" w:rsidRDefault="002A30C3">
            <w:pPr>
              <w:widowControl/>
              <w:spacing w:line="360" w:lineRule="auto"/>
              <w:jc w:val="center"/>
              <w:rPr>
                <w:b/>
                <w:kern w:val="0"/>
                <w:szCs w:val="21"/>
              </w:rPr>
            </w:pPr>
            <w:r>
              <w:rPr>
                <w:b/>
                <w:kern w:val="0"/>
                <w:szCs w:val="21"/>
              </w:rPr>
              <w:t>借款人</w:t>
            </w:r>
          </w:p>
        </w:tc>
        <w:tc>
          <w:tcPr>
            <w:tcW w:w="2841" w:type="dxa"/>
            <w:shd w:val="clear" w:color="auto" w:fill="auto"/>
            <w:noWrap/>
            <w:vAlign w:val="center"/>
          </w:tcPr>
          <w:p w:rsidR="00E617D7" w:rsidRDefault="002A30C3">
            <w:pPr>
              <w:widowControl/>
              <w:spacing w:line="360" w:lineRule="auto"/>
              <w:jc w:val="center"/>
              <w:rPr>
                <w:b/>
                <w:kern w:val="0"/>
                <w:szCs w:val="21"/>
              </w:rPr>
            </w:pPr>
            <w:r>
              <w:rPr>
                <w:b/>
                <w:kern w:val="0"/>
                <w:szCs w:val="21"/>
              </w:rPr>
              <w:t>借款银行</w:t>
            </w:r>
          </w:p>
        </w:tc>
        <w:tc>
          <w:tcPr>
            <w:tcW w:w="2841" w:type="dxa"/>
            <w:shd w:val="clear" w:color="auto" w:fill="auto"/>
            <w:noWrap/>
            <w:vAlign w:val="center"/>
          </w:tcPr>
          <w:p w:rsidR="00E617D7" w:rsidRDefault="002A30C3">
            <w:pPr>
              <w:widowControl/>
              <w:spacing w:line="360" w:lineRule="auto"/>
              <w:jc w:val="center"/>
              <w:rPr>
                <w:b/>
                <w:kern w:val="0"/>
                <w:szCs w:val="21"/>
              </w:rPr>
            </w:pPr>
            <w:r>
              <w:rPr>
                <w:b/>
                <w:kern w:val="0"/>
                <w:szCs w:val="21"/>
              </w:rPr>
              <w:t>金额（元）</w:t>
            </w:r>
          </w:p>
        </w:tc>
      </w:tr>
      <w:tr w:rsidR="00E617D7">
        <w:trPr>
          <w:trHeight w:val="343"/>
          <w:jc w:val="center"/>
        </w:trPr>
        <w:tc>
          <w:tcPr>
            <w:tcW w:w="2840" w:type="dxa"/>
            <w:vAlign w:val="center"/>
          </w:tcPr>
          <w:p w:rsidR="00E617D7" w:rsidRDefault="002A30C3">
            <w:pPr>
              <w:widowControl/>
              <w:spacing w:line="360" w:lineRule="auto"/>
              <w:jc w:val="center"/>
              <w:rPr>
                <w:kern w:val="0"/>
                <w:szCs w:val="21"/>
              </w:rPr>
            </w:pPr>
            <w:bookmarkStart w:id="9" w:name="_Hlk324186560"/>
            <w:r>
              <w:rPr>
                <w:kern w:val="0"/>
                <w:szCs w:val="21"/>
              </w:rPr>
              <w:t>云南煤业能源股份有限公司</w:t>
            </w:r>
          </w:p>
        </w:tc>
        <w:tc>
          <w:tcPr>
            <w:tcW w:w="2841" w:type="dxa"/>
            <w:shd w:val="clear" w:color="auto" w:fill="auto"/>
            <w:vAlign w:val="center"/>
          </w:tcPr>
          <w:p w:rsidR="00E617D7" w:rsidRDefault="002A30C3">
            <w:pPr>
              <w:widowControl/>
              <w:spacing w:line="360" w:lineRule="auto"/>
              <w:jc w:val="center"/>
              <w:rPr>
                <w:kern w:val="0"/>
                <w:szCs w:val="21"/>
              </w:rPr>
            </w:pPr>
            <w:r>
              <w:rPr>
                <w:kern w:val="0"/>
                <w:szCs w:val="21"/>
              </w:rPr>
              <w:t>交通银行昆钢支行</w:t>
            </w:r>
          </w:p>
        </w:tc>
        <w:tc>
          <w:tcPr>
            <w:tcW w:w="2841" w:type="dxa"/>
            <w:shd w:val="clear" w:color="auto" w:fill="auto"/>
            <w:noWrap/>
            <w:vAlign w:val="center"/>
          </w:tcPr>
          <w:p w:rsidR="00E617D7" w:rsidRDefault="002A30C3">
            <w:pPr>
              <w:widowControl/>
              <w:spacing w:line="360" w:lineRule="auto"/>
              <w:jc w:val="right"/>
              <w:rPr>
                <w:kern w:val="0"/>
                <w:szCs w:val="21"/>
              </w:rPr>
            </w:pPr>
            <w:r>
              <w:rPr>
                <w:kern w:val="0"/>
                <w:szCs w:val="21"/>
              </w:rPr>
              <w:t>100,000,000.00</w:t>
            </w:r>
          </w:p>
        </w:tc>
      </w:tr>
      <w:tr w:rsidR="00E617D7">
        <w:trPr>
          <w:trHeight w:val="265"/>
          <w:jc w:val="center"/>
        </w:trPr>
        <w:tc>
          <w:tcPr>
            <w:tcW w:w="2840" w:type="dxa"/>
            <w:vAlign w:val="center"/>
          </w:tcPr>
          <w:p w:rsidR="00E617D7" w:rsidRDefault="002A30C3">
            <w:pPr>
              <w:widowControl/>
              <w:spacing w:line="360" w:lineRule="auto"/>
              <w:jc w:val="center"/>
              <w:rPr>
                <w:kern w:val="0"/>
                <w:szCs w:val="21"/>
              </w:rPr>
            </w:pPr>
            <w:r>
              <w:rPr>
                <w:kern w:val="0"/>
                <w:szCs w:val="21"/>
              </w:rPr>
              <w:t>昆明焦化制气有限公司</w:t>
            </w:r>
          </w:p>
        </w:tc>
        <w:tc>
          <w:tcPr>
            <w:tcW w:w="2841" w:type="dxa"/>
            <w:shd w:val="clear" w:color="auto" w:fill="auto"/>
            <w:vAlign w:val="center"/>
          </w:tcPr>
          <w:p w:rsidR="00E617D7" w:rsidRDefault="002A30C3">
            <w:pPr>
              <w:widowControl/>
              <w:spacing w:line="360" w:lineRule="auto"/>
              <w:jc w:val="center"/>
              <w:rPr>
                <w:kern w:val="0"/>
                <w:szCs w:val="21"/>
              </w:rPr>
            </w:pPr>
            <w:r>
              <w:rPr>
                <w:kern w:val="0"/>
                <w:szCs w:val="21"/>
              </w:rPr>
              <w:t>兴业银行昆明分行</w:t>
            </w:r>
          </w:p>
        </w:tc>
        <w:tc>
          <w:tcPr>
            <w:tcW w:w="2841" w:type="dxa"/>
            <w:shd w:val="clear" w:color="auto" w:fill="auto"/>
            <w:noWrap/>
            <w:vAlign w:val="center"/>
          </w:tcPr>
          <w:p w:rsidR="00E617D7" w:rsidRDefault="002A30C3">
            <w:pPr>
              <w:widowControl/>
              <w:spacing w:line="360" w:lineRule="auto"/>
              <w:jc w:val="right"/>
              <w:rPr>
                <w:kern w:val="0"/>
                <w:szCs w:val="21"/>
              </w:rPr>
            </w:pPr>
            <w:r>
              <w:rPr>
                <w:kern w:val="0"/>
                <w:szCs w:val="21"/>
              </w:rPr>
              <w:t>100,000,000.00</w:t>
            </w:r>
          </w:p>
        </w:tc>
      </w:tr>
      <w:tr w:rsidR="00E617D7">
        <w:trPr>
          <w:trHeight w:val="295"/>
          <w:jc w:val="center"/>
        </w:trPr>
        <w:tc>
          <w:tcPr>
            <w:tcW w:w="2840" w:type="dxa"/>
            <w:vAlign w:val="center"/>
          </w:tcPr>
          <w:p w:rsidR="00E617D7" w:rsidRDefault="002A30C3">
            <w:pPr>
              <w:widowControl/>
              <w:spacing w:line="360" w:lineRule="auto"/>
              <w:jc w:val="center"/>
              <w:rPr>
                <w:kern w:val="0"/>
                <w:szCs w:val="21"/>
              </w:rPr>
            </w:pPr>
            <w:r>
              <w:rPr>
                <w:kern w:val="0"/>
                <w:szCs w:val="21"/>
              </w:rPr>
              <w:t>云南煤业能源股份有限公司</w:t>
            </w:r>
          </w:p>
        </w:tc>
        <w:tc>
          <w:tcPr>
            <w:tcW w:w="2841" w:type="dxa"/>
            <w:shd w:val="clear" w:color="auto" w:fill="auto"/>
            <w:vAlign w:val="center"/>
          </w:tcPr>
          <w:p w:rsidR="00E617D7" w:rsidRDefault="002A30C3">
            <w:pPr>
              <w:widowControl/>
              <w:spacing w:line="360" w:lineRule="auto"/>
              <w:jc w:val="center"/>
              <w:rPr>
                <w:kern w:val="0"/>
                <w:szCs w:val="21"/>
              </w:rPr>
            </w:pPr>
            <w:r>
              <w:rPr>
                <w:kern w:val="0"/>
                <w:szCs w:val="21"/>
              </w:rPr>
              <w:t>兴业银行昆明分行</w:t>
            </w:r>
          </w:p>
        </w:tc>
        <w:tc>
          <w:tcPr>
            <w:tcW w:w="2841" w:type="dxa"/>
            <w:shd w:val="clear" w:color="auto" w:fill="auto"/>
            <w:noWrap/>
            <w:vAlign w:val="center"/>
          </w:tcPr>
          <w:p w:rsidR="00E617D7" w:rsidRDefault="002A30C3">
            <w:pPr>
              <w:widowControl/>
              <w:spacing w:line="360" w:lineRule="auto"/>
              <w:jc w:val="right"/>
              <w:rPr>
                <w:kern w:val="0"/>
                <w:szCs w:val="21"/>
              </w:rPr>
            </w:pPr>
            <w:r>
              <w:rPr>
                <w:kern w:val="0"/>
                <w:szCs w:val="21"/>
              </w:rPr>
              <w:t>50,000,000.00</w:t>
            </w:r>
          </w:p>
        </w:tc>
      </w:tr>
      <w:bookmarkEnd w:id="9"/>
      <w:tr w:rsidR="00E617D7">
        <w:trPr>
          <w:trHeight w:val="198"/>
          <w:jc w:val="center"/>
        </w:trPr>
        <w:tc>
          <w:tcPr>
            <w:tcW w:w="2840" w:type="dxa"/>
          </w:tcPr>
          <w:p w:rsidR="00E617D7" w:rsidRDefault="002A30C3">
            <w:pPr>
              <w:widowControl/>
              <w:spacing w:line="360" w:lineRule="auto"/>
              <w:jc w:val="center"/>
              <w:rPr>
                <w:b/>
                <w:kern w:val="0"/>
                <w:szCs w:val="21"/>
              </w:rPr>
            </w:pPr>
            <w:r>
              <w:rPr>
                <w:b/>
                <w:kern w:val="0"/>
                <w:szCs w:val="21"/>
              </w:rPr>
              <w:t>合计</w:t>
            </w:r>
          </w:p>
        </w:tc>
        <w:tc>
          <w:tcPr>
            <w:tcW w:w="2841" w:type="dxa"/>
            <w:shd w:val="clear" w:color="auto" w:fill="auto"/>
            <w:vAlign w:val="center"/>
          </w:tcPr>
          <w:p w:rsidR="00E617D7" w:rsidRDefault="00E617D7">
            <w:pPr>
              <w:widowControl/>
              <w:spacing w:line="360" w:lineRule="auto"/>
              <w:jc w:val="center"/>
              <w:rPr>
                <w:b/>
                <w:kern w:val="0"/>
                <w:szCs w:val="21"/>
              </w:rPr>
            </w:pPr>
          </w:p>
        </w:tc>
        <w:tc>
          <w:tcPr>
            <w:tcW w:w="2841" w:type="dxa"/>
            <w:shd w:val="clear" w:color="auto" w:fill="auto"/>
            <w:noWrap/>
            <w:vAlign w:val="center"/>
          </w:tcPr>
          <w:p w:rsidR="00E617D7" w:rsidRDefault="002A30C3">
            <w:pPr>
              <w:widowControl/>
              <w:spacing w:line="360" w:lineRule="auto"/>
              <w:jc w:val="right"/>
              <w:rPr>
                <w:b/>
                <w:kern w:val="0"/>
                <w:szCs w:val="21"/>
              </w:rPr>
            </w:pPr>
            <w:r>
              <w:rPr>
                <w:b/>
                <w:kern w:val="0"/>
                <w:szCs w:val="21"/>
              </w:rPr>
              <w:t>250,000,000.00</w:t>
            </w:r>
          </w:p>
        </w:tc>
      </w:tr>
    </w:tbl>
    <w:p w:rsidR="00E617D7" w:rsidRDefault="002A30C3">
      <w:pPr>
        <w:spacing w:beforeLines="50" w:before="156" w:afterLines="50" w:after="156" w:line="360" w:lineRule="auto"/>
        <w:ind w:firstLineChars="200" w:firstLine="480"/>
        <w:rPr>
          <w:color w:val="000000"/>
          <w:kern w:val="0"/>
          <w:sz w:val="24"/>
        </w:rPr>
      </w:pPr>
      <w:r>
        <w:rPr>
          <w:color w:val="000000"/>
          <w:kern w:val="0"/>
          <w:sz w:val="24"/>
        </w:rPr>
        <w:t>截至本报告出具日，发行人本期债券募集资金已使用完毕。</w:t>
      </w:r>
    </w:p>
    <w:p w:rsidR="00E617D7" w:rsidRDefault="00E617D7">
      <w:pPr>
        <w:spacing w:beforeLines="50" w:before="156" w:afterLines="50" w:after="156" w:line="360" w:lineRule="auto"/>
        <w:ind w:firstLineChars="200" w:firstLine="480"/>
        <w:rPr>
          <w:color w:val="000000"/>
          <w:kern w:val="0"/>
          <w:sz w:val="24"/>
        </w:rPr>
      </w:pPr>
    </w:p>
    <w:p w:rsidR="00E617D7" w:rsidRDefault="002A30C3">
      <w:pPr>
        <w:widowControl/>
        <w:jc w:val="left"/>
        <w:rPr>
          <w:color w:val="000000"/>
          <w:kern w:val="0"/>
          <w:sz w:val="24"/>
        </w:rPr>
      </w:pPr>
      <w:r>
        <w:rPr>
          <w:color w:val="000000"/>
          <w:kern w:val="0"/>
          <w:sz w:val="24"/>
        </w:rPr>
        <w:br w:type="page"/>
      </w:r>
    </w:p>
    <w:p w:rsidR="00E617D7" w:rsidRDefault="002A30C3">
      <w:pPr>
        <w:pStyle w:val="1"/>
        <w:jc w:val="center"/>
        <w:rPr>
          <w:sz w:val="28"/>
          <w:szCs w:val="28"/>
        </w:rPr>
      </w:pPr>
      <w:bookmarkStart w:id="10" w:name="_Toc30409"/>
      <w:r>
        <w:rPr>
          <w:sz w:val="28"/>
          <w:szCs w:val="28"/>
        </w:rPr>
        <w:lastRenderedPageBreak/>
        <w:t>第五章</w:t>
      </w:r>
      <w:r>
        <w:rPr>
          <w:sz w:val="28"/>
          <w:szCs w:val="28"/>
        </w:rPr>
        <w:t xml:space="preserve"> </w:t>
      </w:r>
      <w:r>
        <w:rPr>
          <w:sz w:val="28"/>
          <w:szCs w:val="28"/>
        </w:rPr>
        <w:t>本次债券增</w:t>
      </w:r>
      <w:proofErr w:type="gramStart"/>
      <w:r>
        <w:rPr>
          <w:sz w:val="28"/>
          <w:szCs w:val="28"/>
        </w:rPr>
        <w:t>信机制</w:t>
      </w:r>
      <w:proofErr w:type="gramEnd"/>
      <w:r>
        <w:rPr>
          <w:sz w:val="28"/>
          <w:szCs w:val="28"/>
        </w:rPr>
        <w:t>及偿债保障措施执行情况</w:t>
      </w:r>
      <w:bookmarkEnd w:id="10"/>
    </w:p>
    <w:p w:rsidR="00E617D7" w:rsidRDefault="002A30C3">
      <w:pPr>
        <w:autoSpaceDE w:val="0"/>
        <w:autoSpaceDN w:val="0"/>
        <w:adjustRightInd w:val="0"/>
        <w:spacing w:beforeLines="50" w:before="156" w:afterLines="50" w:after="156" w:line="360" w:lineRule="auto"/>
        <w:jc w:val="left"/>
        <w:rPr>
          <w:b/>
          <w:color w:val="000000"/>
          <w:kern w:val="0"/>
          <w:sz w:val="24"/>
        </w:rPr>
      </w:pPr>
      <w:r>
        <w:rPr>
          <w:b/>
          <w:color w:val="000000"/>
          <w:kern w:val="0"/>
          <w:sz w:val="24"/>
        </w:rPr>
        <w:t>一、本次债券增</w:t>
      </w:r>
      <w:proofErr w:type="gramStart"/>
      <w:r>
        <w:rPr>
          <w:b/>
          <w:color w:val="000000"/>
          <w:kern w:val="0"/>
          <w:sz w:val="24"/>
        </w:rPr>
        <w:t>信机制</w:t>
      </w:r>
      <w:proofErr w:type="gramEnd"/>
      <w:r>
        <w:rPr>
          <w:b/>
          <w:color w:val="000000"/>
          <w:kern w:val="0"/>
          <w:sz w:val="24"/>
        </w:rPr>
        <w:t>变更及执行情况</w:t>
      </w:r>
    </w:p>
    <w:p w:rsidR="00E617D7" w:rsidRDefault="002A30C3">
      <w:pPr>
        <w:spacing w:beforeLines="50" w:before="156" w:afterLines="50" w:after="156" w:line="360" w:lineRule="auto"/>
        <w:ind w:firstLineChars="200" w:firstLine="480"/>
        <w:rPr>
          <w:color w:val="000000"/>
          <w:kern w:val="0"/>
          <w:sz w:val="24"/>
        </w:rPr>
      </w:pPr>
      <w:r>
        <w:rPr>
          <w:color w:val="000000"/>
          <w:kern w:val="0"/>
          <w:sz w:val="24"/>
        </w:rPr>
        <w:t>报告期内，本次债券增</w:t>
      </w:r>
      <w:proofErr w:type="gramStart"/>
      <w:r>
        <w:rPr>
          <w:color w:val="000000"/>
          <w:kern w:val="0"/>
          <w:sz w:val="24"/>
        </w:rPr>
        <w:t>信机制</w:t>
      </w:r>
      <w:proofErr w:type="gramEnd"/>
      <w:r>
        <w:rPr>
          <w:color w:val="000000"/>
          <w:kern w:val="0"/>
          <w:sz w:val="24"/>
        </w:rPr>
        <w:t>未发生变化。</w:t>
      </w:r>
    </w:p>
    <w:p w:rsidR="00E617D7" w:rsidRDefault="002A30C3">
      <w:pPr>
        <w:spacing w:beforeLines="50" w:before="156" w:afterLines="50" w:after="156" w:line="360" w:lineRule="auto"/>
        <w:ind w:firstLineChars="200" w:firstLine="480"/>
        <w:rPr>
          <w:kern w:val="0"/>
          <w:sz w:val="24"/>
        </w:rPr>
      </w:pPr>
      <w:r>
        <w:rPr>
          <w:color w:val="000000"/>
          <w:kern w:val="0"/>
          <w:sz w:val="24"/>
        </w:rPr>
        <w:t>本期债券由昆明钢铁控股有限公司（以下简称</w:t>
      </w:r>
      <w:r>
        <w:rPr>
          <w:color w:val="000000"/>
          <w:kern w:val="0"/>
          <w:sz w:val="24"/>
        </w:rPr>
        <w:t>“</w:t>
      </w:r>
      <w:r>
        <w:rPr>
          <w:color w:val="000000"/>
          <w:kern w:val="0"/>
          <w:sz w:val="24"/>
        </w:rPr>
        <w:t>担保人</w:t>
      </w:r>
      <w:r>
        <w:rPr>
          <w:color w:val="000000"/>
          <w:kern w:val="0"/>
          <w:sz w:val="24"/>
        </w:rPr>
        <w:t>”</w:t>
      </w:r>
      <w:r>
        <w:rPr>
          <w:color w:val="000000"/>
          <w:kern w:val="0"/>
          <w:sz w:val="24"/>
        </w:rPr>
        <w:t>、</w:t>
      </w:r>
      <w:r>
        <w:rPr>
          <w:color w:val="000000"/>
          <w:kern w:val="0"/>
          <w:sz w:val="24"/>
        </w:rPr>
        <w:t>“</w:t>
      </w:r>
      <w:r>
        <w:rPr>
          <w:color w:val="000000"/>
          <w:kern w:val="0"/>
          <w:sz w:val="24"/>
        </w:rPr>
        <w:t>昆钢控股</w:t>
      </w:r>
      <w:r>
        <w:rPr>
          <w:color w:val="000000"/>
          <w:kern w:val="0"/>
          <w:sz w:val="24"/>
        </w:rPr>
        <w:t>”</w:t>
      </w:r>
      <w:r>
        <w:rPr>
          <w:color w:val="000000"/>
          <w:kern w:val="0"/>
          <w:sz w:val="24"/>
        </w:rPr>
        <w:t>）提供全额无条件不可撤销连带责任的保证担保。</w:t>
      </w:r>
      <w:r>
        <w:rPr>
          <w:sz w:val="24"/>
        </w:rPr>
        <w:t>担保人保证的范围为发行人本次发行公司债券的本金及利息、违约金、损害赔偿金和实现债权的费用。</w:t>
      </w:r>
      <w:r>
        <w:rPr>
          <w:kern w:val="0"/>
          <w:sz w:val="24"/>
        </w:rPr>
        <w:t>担保人承担保证责任及代偿责任的期间为发行人本次发行公司债券存续期及债券到期日起两年。</w:t>
      </w:r>
    </w:p>
    <w:p w:rsidR="00E617D7" w:rsidRDefault="002A30C3">
      <w:pPr>
        <w:autoSpaceDE w:val="0"/>
        <w:autoSpaceDN w:val="0"/>
        <w:adjustRightInd w:val="0"/>
        <w:spacing w:beforeLines="50" w:before="156" w:afterLines="50" w:after="156" w:line="360" w:lineRule="auto"/>
        <w:jc w:val="left"/>
        <w:rPr>
          <w:b/>
          <w:color w:val="000000"/>
          <w:kern w:val="0"/>
          <w:sz w:val="24"/>
        </w:rPr>
      </w:pPr>
      <w:r>
        <w:rPr>
          <w:b/>
          <w:color w:val="000000"/>
          <w:kern w:val="0"/>
          <w:sz w:val="24"/>
        </w:rPr>
        <w:t>二、本次债券的偿债保障措施变更及执行情况</w:t>
      </w:r>
    </w:p>
    <w:p w:rsidR="00E617D7" w:rsidRDefault="002A30C3">
      <w:pPr>
        <w:spacing w:beforeLines="50" w:before="156" w:afterLines="50" w:after="156" w:line="360" w:lineRule="auto"/>
        <w:ind w:firstLineChars="200" w:firstLine="480"/>
        <w:rPr>
          <w:color w:val="000000"/>
          <w:kern w:val="0"/>
          <w:sz w:val="24"/>
        </w:rPr>
      </w:pPr>
      <w:r>
        <w:rPr>
          <w:color w:val="000000"/>
          <w:kern w:val="0"/>
          <w:sz w:val="24"/>
        </w:rPr>
        <w:t>报告期内，本次债券偿债保障措施未发生变更。</w:t>
      </w:r>
    </w:p>
    <w:p w:rsidR="00E617D7" w:rsidRDefault="002A30C3">
      <w:pPr>
        <w:spacing w:beforeLines="50" w:before="156" w:afterLines="50" w:after="156" w:line="360" w:lineRule="auto"/>
        <w:ind w:firstLineChars="200" w:firstLine="480"/>
        <w:rPr>
          <w:sz w:val="24"/>
        </w:rPr>
      </w:pPr>
      <w:r>
        <w:rPr>
          <w:sz w:val="24"/>
        </w:rPr>
        <w:t>为了充分、有效地维护债券持有人的利益，公司为本期债券的按时、足额偿付制定了一系列工作计划，包括确定专门部门与人员、制定管理措施、做好组织协调、</w:t>
      </w:r>
      <w:r>
        <w:rPr>
          <w:sz w:val="24"/>
        </w:rPr>
        <w:t>加强信息披露等，努力形成一套确保债券安全兑付的保障措施。</w:t>
      </w:r>
    </w:p>
    <w:p w:rsidR="00E617D7" w:rsidRDefault="002A30C3">
      <w:pPr>
        <w:spacing w:beforeLines="50" w:before="156" w:afterLines="50" w:after="156" w:line="360" w:lineRule="auto"/>
        <w:ind w:firstLineChars="200" w:firstLine="480"/>
        <w:rPr>
          <w:color w:val="000000"/>
          <w:kern w:val="0"/>
          <w:sz w:val="24"/>
        </w:rPr>
      </w:pPr>
      <w:r>
        <w:rPr>
          <w:sz w:val="24"/>
        </w:rPr>
        <w:t>报告期内，公司债券偿债计划及其他偿债保障措施与募集说明书中相关承诺一致。</w:t>
      </w:r>
    </w:p>
    <w:p w:rsidR="00E617D7" w:rsidRDefault="00E617D7">
      <w:pPr>
        <w:spacing w:beforeLines="50" w:before="156" w:afterLines="50" w:after="156" w:line="360" w:lineRule="auto"/>
        <w:ind w:firstLineChars="200" w:firstLine="480"/>
        <w:rPr>
          <w:color w:val="000000"/>
          <w:kern w:val="0"/>
          <w:sz w:val="24"/>
        </w:rPr>
      </w:pPr>
    </w:p>
    <w:p w:rsidR="00E617D7" w:rsidRDefault="00E617D7">
      <w:pPr>
        <w:spacing w:beforeLines="50" w:before="156" w:afterLines="50" w:after="156" w:line="360" w:lineRule="auto"/>
        <w:ind w:firstLineChars="200" w:firstLine="480"/>
        <w:rPr>
          <w:color w:val="000000"/>
          <w:kern w:val="0"/>
          <w:sz w:val="24"/>
        </w:rPr>
        <w:sectPr w:rsidR="00E617D7">
          <w:pgSz w:w="11906" w:h="16838"/>
          <w:pgMar w:top="1440" w:right="1800" w:bottom="1440" w:left="1800" w:header="851" w:footer="850" w:gutter="0"/>
          <w:cols w:space="425"/>
          <w:docGrid w:type="lines" w:linePitch="312"/>
        </w:sectPr>
      </w:pPr>
    </w:p>
    <w:p w:rsidR="00E617D7" w:rsidRDefault="002A30C3">
      <w:pPr>
        <w:pStyle w:val="1"/>
        <w:jc w:val="center"/>
        <w:rPr>
          <w:sz w:val="28"/>
          <w:szCs w:val="28"/>
        </w:rPr>
      </w:pPr>
      <w:bookmarkStart w:id="11" w:name="_Toc31977"/>
      <w:r>
        <w:rPr>
          <w:sz w:val="28"/>
          <w:szCs w:val="28"/>
        </w:rPr>
        <w:lastRenderedPageBreak/>
        <w:t>第六章</w:t>
      </w:r>
      <w:r>
        <w:rPr>
          <w:sz w:val="28"/>
          <w:szCs w:val="28"/>
        </w:rPr>
        <w:t xml:space="preserve"> </w:t>
      </w:r>
      <w:r>
        <w:rPr>
          <w:sz w:val="28"/>
          <w:szCs w:val="28"/>
        </w:rPr>
        <w:t>本期债券担保人资信情况</w:t>
      </w:r>
      <w:bookmarkEnd w:id="11"/>
    </w:p>
    <w:p w:rsidR="00E617D7" w:rsidRDefault="002A30C3">
      <w:pPr>
        <w:autoSpaceDE w:val="0"/>
        <w:autoSpaceDN w:val="0"/>
        <w:adjustRightInd w:val="0"/>
        <w:spacing w:beforeLines="50" w:before="156" w:afterLines="50" w:after="156" w:line="360" w:lineRule="auto"/>
        <w:ind w:firstLineChars="200" w:firstLine="480"/>
        <w:jc w:val="left"/>
        <w:rPr>
          <w:color w:val="000000"/>
          <w:kern w:val="0"/>
          <w:sz w:val="24"/>
        </w:rPr>
      </w:pPr>
      <w:r>
        <w:rPr>
          <w:color w:val="000000"/>
          <w:kern w:val="0"/>
          <w:sz w:val="24"/>
        </w:rPr>
        <w:t>本期债券由昆钢控股提供全额无条件不可撤销连带责任的保证担保。</w:t>
      </w:r>
    </w:p>
    <w:p w:rsidR="00E617D7" w:rsidRDefault="002A30C3">
      <w:pPr>
        <w:autoSpaceDE w:val="0"/>
        <w:autoSpaceDN w:val="0"/>
        <w:adjustRightInd w:val="0"/>
        <w:spacing w:beforeLines="50" w:before="156" w:afterLines="50" w:after="156" w:line="360" w:lineRule="auto"/>
        <w:jc w:val="left"/>
        <w:rPr>
          <w:b/>
          <w:color w:val="000000"/>
          <w:kern w:val="0"/>
          <w:sz w:val="24"/>
        </w:rPr>
      </w:pPr>
      <w:r>
        <w:rPr>
          <w:b/>
          <w:color w:val="000000"/>
          <w:kern w:val="0"/>
          <w:sz w:val="24"/>
        </w:rPr>
        <w:t>一、担保人概况</w:t>
      </w:r>
    </w:p>
    <w:p w:rsidR="00E617D7" w:rsidRDefault="002A30C3">
      <w:pPr>
        <w:spacing w:beforeLines="50" w:before="156" w:after="50" w:line="360" w:lineRule="auto"/>
        <w:ind w:firstLineChars="200" w:firstLine="480"/>
        <w:rPr>
          <w:color w:val="000000"/>
          <w:kern w:val="0"/>
          <w:sz w:val="24"/>
        </w:rPr>
      </w:pPr>
      <w:r>
        <w:rPr>
          <w:color w:val="000000"/>
          <w:kern w:val="0"/>
          <w:sz w:val="24"/>
        </w:rPr>
        <w:t>1</w:t>
      </w:r>
      <w:r>
        <w:rPr>
          <w:color w:val="000000"/>
          <w:kern w:val="0"/>
          <w:sz w:val="24"/>
        </w:rPr>
        <w:t>、公司名称：昆明钢铁控股有限公司</w:t>
      </w:r>
    </w:p>
    <w:p w:rsidR="00E617D7" w:rsidRDefault="002A30C3">
      <w:pPr>
        <w:spacing w:beforeLines="50" w:before="156" w:after="50" w:line="360" w:lineRule="auto"/>
        <w:ind w:firstLineChars="200" w:firstLine="480"/>
        <w:rPr>
          <w:color w:val="000000"/>
          <w:kern w:val="0"/>
          <w:sz w:val="24"/>
        </w:rPr>
      </w:pPr>
      <w:r>
        <w:rPr>
          <w:color w:val="000000"/>
          <w:kern w:val="0"/>
          <w:sz w:val="24"/>
        </w:rPr>
        <w:t>2</w:t>
      </w:r>
      <w:r>
        <w:rPr>
          <w:color w:val="000000"/>
          <w:kern w:val="0"/>
          <w:sz w:val="24"/>
        </w:rPr>
        <w:t>、注册资本：</w:t>
      </w:r>
      <w:r>
        <w:rPr>
          <w:color w:val="000000"/>
          <w:kern w:val="0"/>
          <w:sz w:val="24"/>
        </w:rPr>
        <w:t>736,831.2357</w:t>
      </w:r>
      <w:r>
        <w:rPr>
          <w:color w:val="000000"/>
          <w:kern w:val="0"/>
          <w:sz w:val="24"/>
        </w:rPr>
        <w:t>万元</w:t>
      </w:r>
    </w:p>
    <w:p w:rsidR="00E617D7" w:rsidRDefault="002A30C3">
      <w:pPr>
        <w:spacing w:beforeLines="50" w:before="156" w:after="50" w:line="360" w:lineRule="auto"/>
        <w:ind w:firstLineChars="200" w:firstLine="480"/>
        <w:rPr>
          <w:color w:val="000000"/>
          <w:kern w:val="0"/>
          <w:sz w:val="24"/>
        </w:rPr>
      </w:pPr>
      <w:r>
        <w:rPr>
          <w:color w:val="000000"/>
          <w:kern w:val="0"/>
          <w:sz w:val="24"/>
        </w:rPr>
        <w:t>3</w:t>
      </w:r>
      <w:r>
        <w:rPr>
          <w:color w:val="000000"/>
          <w:kern w:val="0"/>
          <w:sz w:val="24"/>
        </w:rPr>
        <w:t>、住所：云南省郎家庄</w:t>
      </w:r>
    </w:p>
    <w:p w:rsidR="00E617D7" w:rsidRDefault="002A30C3">
      <w:pPr>
        <w:spacing w:beforeLines="50" w:before="156" w:after="50" w:line="360" w:lineRule="auto"/>
        <w:ind w:firstLineChars="200" w:firstLine="480"/>
        <w:rPr>
          <w:color w:val="000000"/>
          <w:kern w:val="0"/>
          <w:sz w:val="24"/>
        </w:rPr>
      </w:pPr>
      <w:r>
        <w:rPr>
          <w:color w:val="000000"/>
          <w:kern w:val="0"/>
          <w:sz w:val="24"/>
        </w:rPr>
        <w:t>4</w:t>
      </w:r>
      <w:r>
        <w:rPr>
          <w:color w:val="000000"/>
          <w:kern w:val="0"/>
          <w:sz w:val="24"/>
        </w:rPr>
        <w:t>、法定代表人：</w:t>
      </w:r>
      <w:r>
        <w:rPr>
          <w:kern w:val="0"/>
          <w:sz w:val="24"/>
        </w:rPr>
        <w:t>赵永平</w:t>
      </w:r>
    </w:p>
    <w:p w:rsidR="00E617D7" w:rsidRDefault="002A30C3">
      <w:pPr>
        <w:spacing w:beforeLines="50" w:before="156" w:after="50" w:line="360" w:lineRule="auto"/>
        <w:ind w:firstLineChars="200" w:firstLine="480"/>
        <w:rPr>
          <w:color w:val="000000"/>
          <w:kern w:val="0"/>
          <w:sz w:val="24"/>
        </w:rPr>
      </w:pPr>
      <w:r>
        <w:rPr>
          <w:color w:val="000000"/>
          <w:kern w:val="0"/>
          <w:sz w:val="24"/>
        </w:rPr>
        <w:t>5</w:t>
      </w:r>
      <w:r>
        <w:rPr>
          <w:color w:val="000000"/>
          <w:kern w:val="0"/>
          <w:sz w:val="24"/>
        </w:rPr>
        <w:t>、经营范围：资产经营、资产托管、实业投资及相关咨询服务</w:t>
      </w:r>
      <w:r>
        <w:rPr>
          <w:color w:val="000000"/>
          <w:kern w:val="0"/>
          <w:sz w:val="24"/>
        </w:rPr>
        <w:t>；</w:t>
      </w:r>
      <w:r>
        <w:rPr>
          <w:color w:val="000000"/>
          <w:kern w:val="0"/>
          <w:sz w:val="24"/>
        </w:rPr>
        <w:t>企业的兼并、收购、租赁</w:t>
      </w:r>
      <w:r>
        <w:rPr>
          <w:color w:val="000000"/>
          <w:kern w:val="0"/>
          <w:sz w:val="24"/>
        </w:rPr>
        <w:t>；</w:t>
      </w:r>
      <w:r>
        <w:rPr>
          <w:color w:val="000000"/>
          <w:kern w:val="0"/>
          <w:sz w:val="24"/>
        </w:rPr>
        <w:t>钢铁冶炼及其压延产品加工、黑色金属矿采选业、非金属矿采选业、焦炭及焦化副产品、机械制造及机械加工产品、耐火材料、建筑材料、工业气体、物资供销业、冶金高新技术开发、技术服务、通讯电子工程、计算机硬件、软件、电器机械及器件、电力塔架</w:t>
      </w:r>
      <w:r>
        <w:rPr>
          <w:color w:val="000000"/>
          <w:kern w:val="0"/>
          <w:sz w:val="24"/>
        </w:rPr>
        <w:t>；</w:t>
      </w:r>
      <w:r>
        <w:rPr>
          <w:color w:val="000000"/>
          <w:kern w:val="0"/>
          <w:sz w:val="24"/>
        </w:rPr>
        <w:t>钢结构工程和境内国际招标工程</w:t>
      </w:r>
      <w:r>
        <w:rPr>
          <w:color w:val="000000"/>
          <w:kern w:val="0"/>
          <w:sz w:val="24"/>
        </w:rPr>
        <w:t>；</w:t>
      </w:r>
      <w:r>
        <w:rPr>
          <w:color w:val="000000"/>
          <w:kern w:val="0"/>
          <w:sz w:val="24"/>
        </w:rPr>
        <w:t>上述境外工程所需的设备材料出口</w:t>
      </w:r>
      <w:r>
        <w:rPr>
          <w:color w:val="000000"/>
          <w:kern w:val="0"/>
          <w:sz w:val="24"/>
        </w:rPr>
        <w:t>；</w:t>
      </w:r>
      <w:r>
        <w:rPr>
          <w:color w:val="000000"/>
          <w:kern w:val="0"/>
          <w:sz w:val="24"/>
        </w:rPr>
        <w:t>企财险、货运险、</w:t>
      </w:r>
      <w:proofErr w:type="gramStart"/>
      <w:r>
        <w:rPr>
          <w:color w:val="000000"/>
          <w:kern w:val="0"/>
          <w:sz w:val="24"/>
        </w:rPr>
        <w:t>建安工险保险</w:t>
      </w:r>
      <w:proofErr w:type="gramEnd"/>
      <w:r>
        <w:rPr>
          <w:color w:val="000000"/>
          <w:kern w:val="0"/>
          <w:sz w:val="24"/>
        </w:rPr>
        <w:t>兼业代理</w:t>
      </w:r>
      <w:r>
        <w:rPr>
          <w:color w:val="000000"/>
          <w:kern w:val="0"/>
          <w:sz w:val="24"/>
        </w:rPr>
        <w:t>；</w:t>
      </w:r>
      <w:r>
        <w:rPr>
          <w:color w:val="000000"/>
          <w:kern w:val="0"/>
          <w:sz w:val="24"/>
        </w:rPr>
        <w:t>矿浆管道输送、管道制造技术及管道输送技术咨询服务。</w:t>
      </w:r>
      <w:r>
        <w:rPr>
          <w:color w:val="000000"/>
          <w:kern w:val="0"/>
          <w:sz w:val="24"/>
        </w:rPr>
        <w:t>（</w:t>
      </w:r>
      <w:r>
        <w:rPr>
          <w:color w:val="000000"/>
          <w:kern w:val="0"/>
          <w:sz w:val="24"/>
        </w:rPr>
        <w:t>以下经营范围仅限分支机构凭许可证经营</w:t>
      </w:r>
      <w:r>
        <w:rPr>
          <w:color w:val="000000"/>
          <w:kern w:val="0"/>
          <w:sz w:val="24"/>
        </w:rPr>
        <w:t>）：</w:t>
      </w:r>
      <w:r>
        <w:rPr>
          <w:color w:val="000000"/>
          <w:kern w:val="0"/>
          <w:sz w:val="24"/>
        </w:rPr>
        <w:t>酒店管理</w:t>
      </w:r>
      <w:r>
        <w:rPr>
          <w:color w:val="000000"/>
          <w:kern w:val="0"/>
          <w:sz w:val="24"/>
        </w:rPr>
        <w:t>；</w:t>
      </w:r>
      <w:r>
        <w:rPr>
          <w:color w:val="000000"/>
          <w:kern w:val="0"/>
          <w:sz w:val="24"/>
        </w:rPr>
        <w:t>餐饮服务</w:t>
      </w:r>
      <w:r>
        <w:rPr>
          <w:color w:val="000000"/>
          <w:kern w:val="0"/>
          <w:sz w:val="24"/>
        </w:rPr>
        <w:t>；</w:t>
      </w:r>
      <w:r>
        <w:rPr>
          <w:color w:val="000000"/>
          <w:kern w:val="0"/>
          <w:sz w:val="24"/>
        </w:rPr>
        <w:t>住宿</w:t>
      </w:r>
      <w:r>
        <w:rPr>
          <w:color w:val="000000"/>
          <w:kern w:val="0"/>
          <w:sz w:val="24"/>
        </w:rPr>
        <w:t>；</w:t>
      </w:r>
      <w:r>
        <w:rPr>
          <w:color w:val="000000"/>
          <w:kern w:val="0"/>
          <w:sz w:val="24"/>
        </w:rPr>
        <w:t>会议会展服务</w:t>
      </w:r>
      <w:r>
        <w:rPr>
          <w:color w:val="000000"/>
          <w:kern w:val="0"/>
          <w:sz w:val="24"/>
        </w:rPr>
        <w:t>；</w:t>
      </w:r>
      <w:r>
        <w:rPr>
          <w:color w:val="000000"/>
          <w:kern w:val="0"/>
          <w:sz w:val="24"/>
        </w:rPr>
        <w:t>洗浴服务</w:t>
      </w:r>
      <w:r>
        <w:rPr>
          <w:color w:val="000000"/>
          <w:kern w:val="0"/>
          <w:sz w:val="24"/>
        </w:rPr>
        <w:t>；</w:t>
      </w:r>
      <w:r>
        <w:rPr>
          <w:color w:val="000000"/>
          <w:kern w:val="0"/>
          <w:sz w:val="24"/>
        </w:rPr>
        <w:t>预包装食品、卷烟的零售</w:t>
      </w:r>
      <w:r>
        <w:rPr>
          <w:color w:val="000000"/>
          <w:kern w:val="0"/>
          <w:sz w:val="24"/>
        </w:rPr>
        <w:t>；</w:t>
      </w:r>
      <w:r>
        <w:rPr>
          <w:color w:val="000000"/>
          <w:kern w:val="0"/>
          <w:sz w:val="24"/>
        </w:rPr>
        <w:t>洗衣服务</w:t>
      </w:r>
      <w:r>
        <w:rPr>
          <w:color w:val="000000"/>
          <w:kern w:val="0"/>
          <w:sz w:val="24"/>
        </w:rPr>
        <w:t>；</w:t>
      </w:r>
      <w:r>
        <w:rPr>
          <w:color w:val="000000"/>
          <w:kern w:val="0"/>
          <w:sz w:val="24"/>
        </w:rPr>
        <w:t>国内贸易、物资供销</w:t>
      </w:r>
      <w:r>
        <w:rPr>
          <w:color w:val="000000"/>
          <w:kern w:val="0"/>
          <w:sz w:val="24"/>
        </w:rPr>
        <w:t>（</w:t>
      </w:r>
      <w:r>
        <w:rPr>
          <w:color w:val="000000"/>
          <w:kern w:val="0"/>
          <w:sz w:val="24"/>
        </w:rPr>
        <w:t>依法须经批准的项目</w:t>
      </w:r>
      <w:r>
        <w:rPr>
          <w:color w:val="000000"/>
          <w:kern w:val="0"/>
          <w:sz w:val="24"/>
        </w:rPr>
        <w:t>,</w:t>
      </w:r>
      <w:r>
        <w:rPr>
          <w:color w:val="000000"/>
          <w:kern w:val="0"/>
          <w:sz w:val="24"/>
        </w:rPr>
        <w:t>经相关部门批准后方可开展经营活动</w:t>
      </w:r>
      <w:r>
        <w:rPr>
          <w:color w:val="000000"/>
          <w:kern w:val="0"/>
          <w:sz w:val="24"/>
        </w:rPr>
        <w:t>）</w:t>
      </w:r>
    </w:p>
    <w:p w:rsidR="00E617D7" w:rsidRDefault="002A30C3">
      <w:pPr>
        <w:spacing w:beforeLines="50" w:before="156" w:after="50" w:line="360" w:lineRule="auto"/>
        <w:ind w:firstLineChars="200" w:firstLine="480"/>
        <w:rPr>
          <w:color w:val="000000"/>
          <w:kern w:val="0"/>
          <w:sz w:val="24"/>
        </w:rPr>
      </w:pPr>
      <w:r>
        <w:rPr>
          <w:color w:val="000000"/>
          <w:kern w:val="0"/>
          <w:sz w:val="24"/>
        </w:rPr>
        <w:t>6</w:t>
      </w:r>
      <w:r>
        <w:rPr>
          <w:color w:val="000000"/>
          <w:kern w:val="0"/>
          <w:sz w:val="24"/>
        </w:rPr>
        <w:t>、</w:t>
      </w:r>
      <w:r>
        <w:rPr>
          <w:kern w:val="0"/>
          <w:sz w:val="24"/>
        </w:rPr>
        <w:t>云南省人民政府国有资产监督管理委员会为担保人的控股股东</w:t>
      </w:r>
      <w:r>
        <w:rPr>
          <w:kern w:val="0"/>
          <w:sz w:val="24"/>
        </w:rPr>
        <w:t>和实际控制人</w:t>
      </w:r>
      <w:r>
        <w:rPr>
          <w:kern w:val="0"/>
          <w:sz w:val="24"/>
        </w:rPr>
        <w:t>。</w:t>
      </w:r>
    </w:p>
    <w:p w:rsidR="00E617D7" w:rsidRDefault="002A30C3">
      <w:pPr>
        <w:autoSpaceDE w:val="0"/>
        <w:autoSpaceDN w:val="0"/>
        <w:adjustRightInd w:val="0"/>
        <w:spacing w:beforeLines="50" w:before="156" w:afterLines="50" w:after="156" w:line="360" w:lineRule="auto"/>
        <w:jc w:val="left"/>
        <w:rPr>
          <w:b/>
          <w:color w:val="000000"/>
          <w:kern w:val="0"/>
          <w:sz w:val="24"/>
        </w:rPr>
      </w:pPr>
      <w:r>
        <w:rPr>
          <w:b/>
          <w:color w:val="000000"/>
          <w:kern w:val="0"/>
          <w:sz w:val="24"/>
        </w:rPr>
        <w:t>二、担保人业务情况</w:t>
      </w:r>
    </w:p>
    <w:p w:rsidR="00E617D7" w:rsidRDefault="002A30C3">
      <w:pPr>
        <w:autoSpaceDE w:val="0"/>
        <w:autoSpaceDN w:val="0"/>
        <w:adjustRightInd w:val="0"/>
        <w:spacing w:beforeLines="50" w:before="156" w:afterLines="50" w:after="156" w:line="360" w:lineRule="auto"/>
        <w:ind w:leftChars="57" w:left="120" w:firstLineChars="200" w:firstLine="480"/>
        <w:rPr>
          <w:kern w:val="0"/>
          <w:sz w:val="24"/>
        </w:rPr>
      </w:pPr>
      <w:r>
        <w:rPr>
          <w:kern w:val="0"/>
          <w:sz w:val="24"/>
        </w:rPr>
        <w:t>目前，昆钢控股的主营业务主要包括铁矿石采选、焦炭、铁合金等钢铁配套产业，并发展水泥、装备制造、现代服务业等多元化产业。</w:t>
      </w:r>
    </w:p>
    <w:p w:rsidR="00E617D7" w:rsidRDefault="002A30C3">
      <w:pPr>
        <w:autoSpaceDE w:val="0"/>
        <w:autoSpaceDN w:val="0"/>
        <w:adjustRightInd w:val="0"/>
        <w:spacing w:beforeLines="50" w:before="156" w:afterLines="50" w:after="156" w:line="360" w:lineRule="auto"/>
        <w:jc w:val="left"/>
        <w:rPr>
          <w:b/>
          <w:color w:val="000000"/>
          <w:kern w:val="0"/>
          <w:sz w:val="24"/>
        </w:rPr>
      </w:pPr>
      <w:r>
        <w:rPr>
          <w:b/>
          <w:color w:val="000000"/>
          <w:kern w:val="0"/>
          <w:sz w:val="24"/>
        </w:rPr>
        <w:t>三、担保人财务情况</w:t>
      </w:r>
    </w:p>
    <w:p w:rsidR="00E617D7" w:rsidRDefault="002A30C3">
      <w:pPr>
        <w:spacing w:beforeLines="50" w:before="156" w:after="50" w:line="360" w:lineRule="auto"/>
        <w:ind w:firstLineChars="200" w:firstLine="480"/>
        <w:rPr>
          <w:color w:val="000000"/>
          <w:kern w:val="0"/>
          <w:sz w:val="24"/>
        </w:rPr>
      </w:pPr>
      <w:r>
        <w:rPr>
          <w:color w:val="000000"/>
          <w:kern w:val="0"/>
          <w:sz w:val="24"/>
        </w:rPr>
        <w:t>根据瑞华会计师事务所（特殊普通合伙）出具的</w:t>
      </w:r>
      <w:r>
        <w:rPr>
          <w:color w:val="000000"/>
          <w:kern w:val="0"/>
          <w:sz w:val="24"/>
        </w:rPr>
        <w:t>“</w:t>
      </w:r>
      <w:r>
        <w:rPr>
          <w:color w:val="000000"/>
          <w:kern w:val="0"/>
          <w:sz w:val="24"/>
        </w:rPr>
        <w:t>瑞华审字</w:t>
      </w:r>
      <w:r>
        <w:rPr>
          <w:color w:val="000000"/>
          <w:kern w:val="0"/>
          <w:sz w:val="24"/>
        </w:rPr>
        <w:t>[201</w:t>
      </w:r>
      <w:r>
        <w:rPr>
          <w:color w:val="000000"/>
          <w:kern w:val="0"/>
          <w:sz w:val="24"/>
        </w:rPr>
        <w:t>9</w:t>
      </w:r>
      <w:r>
        <w:rPr>
          <w:color w:val="000000"/>
          <w:kern w:val="0"/>
          <w:sz w:val="24"/>
        </w:rPr>
        <w:t>]5310000</w:t>
      </w:r>
      <w:r>
        <w:rPr>
          <w:color w:val="000000"/>
          <w:kern w:val="0"/>
          <w:sz w:val="24"/>
        </w:rPr>
        <w:t>3</w:t>
      </w:r>
      <w:r>
        <w:rPr>
          <w:color w:val="000000"/>
          <w:kern w:val="0"/>
          <w:sz w:val="24"/>
        </w:rPr>
        <w:lastRenderedPageBreak/>
        <w:t>号</w:t>
      </w:r>
      <w:r>
        <w:rPr>
          <w:color w:val="000000"/>
          <w:kern w:val="0"/>
          <w:sz w:val="24"/>
        </w:rPr>
        <w:t>”</w:t>
      </w:r>
      <w:r>
        <w:rPr>
          <w:color w:val="000000"/>
          <w:kern w:val="0"/>
          <w:sz w:val="24"/>
        </w:rPr>
        <w:t>《审计报告》，截至</w:t>
      </w:r>
      <w:r>
        <w:rPr>
          <w:color w:val="000000"/>
          <w:kern w:val="0"/>
          <w:sz w:val="24"/>
        </w:rPr>
        <w:t>201</w:t>
      </w:r>
      <w:r>
        <w:rPr>
          <w:color w:val="000000"/>
          <w:kern w:val="0"/>
          <w:sz w:val="24"/>
        </w:rPr>
        <w:t>8</w:t>
      </w:r>
      <w:r>
        <w:rPr>
          <w:color w:val="000000"/>
          <w:kern w:val="0"/>
          <w:sz w:val="24"/>
        </w:rPr>
        <w:t>年</w:t>
      </w:r>
      <w:r>
        <w:rPr>
          <w:color w:val="000000"/>
          <w:kern w:val="0"/>
          <w:sz w:val="24"/>
        </w:rPr>
        <w:t>12</w:t>
      </w:r>
      <w:r>
        <w:rPr>
          <w:color w:val="000000"/>
          <w:kern w:val="0"/>
          <w:sz w:val="24"/>
        </w:rPr>
        <w:t>月</w:t>
      </w:r>
      <w:r>
        <w:rPr>
          <w:color w:val="000000"/>
          <w:kern w:val="0"/>
          <w:sz w:val="24"/>
        </w:rPr>
        <w:t>31</w:t>
      </w:r>
      <w:r>
        <w:rPr>
          <w:color w:val="000000"/>
          <w:kern w:val="0"/>
          <w:sz w:val="24"/>
        </w:rPr>
        <w:t>日，昆钢控股资产总额为</w:t>
      </w:r>
      <w:r>
        <w:rPr>
          <w:color w:val="000000"/>
          <w:kern w:val="0"/>
          <w:sz w:val="24"/>
        </w:rPr>
        <w:t>6,178,106.27</w:t>
      </w:r>
      <w:r>
        <w:rPr>
          <w:color w:val="000000"/>
          <w:kern w:val="0"/>
          <w:sz w:val="24"/>
        </w:rPr>
        <w:t>万元，归属于母公司所有者权益为</w:t>
      </w:r>
      <w:r>
        <w:rPr>
          <w:color w:val="000000"/>
          <w:kern w:val="0"/>
          <w:sz w:val="24"/>
        </w:rPr>
        <w:t>1,309,707.87</w:t>
      </w:r>
      <w:r>
        <w:rPr>
          <w:color w:val="000000"/>
          <w:kern w:val="0"/>
          <w:sz w:val="24"/>
        </w:rPr>
        <w:t>万元；</w:t>
      </w:r>
      <w:r>
        <w:rPr>
          <w:color w:val="000000"/>
          <w:kern w:val="0"/>
          <w:sz w:val="24"/>
        </w:rPr>
        <w:t>201</w:t>
      </w:r>
      <w:r>
        <w:rPr>
          <w:color w:val="000000"/>
          <w:kern w:val="0"/>
          <w:sz w:val="24"/>
        </w:rPr>
        <w:t>8</w:t>
      </w:r>
      <w:r>
        <w:rPr>
          <w:color w:val="000000"/>
          <w:kern w:val="0"/>
          <w:sz w:val="24"/>
        </w:rPr>
        <w:t>年度，昆钢控股实现营业收入</w:t>
      </w:r>
      <w:r>
        <w:rPr>
          <w:color w:val="000000"/>
          <w:kern w:val="0"/>
          <w:sz w:val="24"/>
        </w:rPr>
        <w:t>5,680,756.20</w:t>
      </w:r>
      <w:r>
        <w:rPr>
          <w:color w:val="000000"/>
          <w:kern w:val="0"/>
          <w:sz w:val="24"/>
        </w:rPr>
        <w:t>万元，归属于母公司所有者的净利润为</w:t>
      </w:r>
      <w:r>
        <w:rPr>
          <w:color w:val="000000"/>
          <w:kern w:val="0"/>
          <w:sz w:val="24"/>
        </w:rPr>
        <w:t>33,827.68</w:t>
      </w:r>
      <w:r>
        <w:rPr>
          <w:color w:val="000000"/>
          <w:kern w:val="0"/>
          <w:sz w:val="24"/>
        </w:rPr>
        <w:t>万元。</w:t>
      </w:r>
    </w:p>
    <w:p w:rsidR="00E617D7" w:rsidRDefault="002A30C3">
      <w:pPr>
        <w:widowControl/>
        <w:jc w:val="left"/>
        <w:rPr>
          <w:b/>
          <w:bCs/>
          <w:kern w:val="44"/>
          <w:sz w:val="28"/>
          <w:szCs w:val="28"/>
        </w:rPr>
      </w:pPr>
      <w:r>
        <w:rPr>
          <w:sz w:val="28"/>
          <w:szCs w:val="28"/>
        </w:rPr>
        <w:br w:type="page"/>
      </w:r>
    </w:p>
    <w:p w:rsidR="00E617D7" w:rsidRDefault="002A30C3">
      <w:pPr>
        <w:pStyle w:val="1"/>
        <w:jc w:val="center"/>
        <w:rPr>
          <w:sz w:val="28"/>
          <w:szCs w:val="28"/>
        </w:rPr>
      </w:pPr>
      <w:bookmarkStart w:id="12" w:name="_Toc8511"/>
      <w:r>
        <w:rPr>
          <w:sz w:val="28"/>
          <w:szCs w:val="28"/>
        </w:rPr>
        <w:lastRenderedPageBreak/>
        <w:t>第七章</w:t>
      </w:r>
      <w:r>
        <w:rPr>
          <w:sz w:val="28"/>
          <w:szCs w:val="28"/>
        </w:rPr>
        <w:t xml:space="preserve"> </w:t>
      </w:r>
      <w:r>
        <w:rPr>
          <w:sz w:val="28"/>
          <w:szCs w:val="28"/>
        </w:rPr>
        <w:t>债券持有人会议召开的情况</w:t>
      </w:r>
      <w:bookmarkEnd w:id="12"/>
      <w:r>
        <w:rPr>
          <w:sz w:val="28"/>
          <w:szCs w:val="28"/>
        </w:rPr>
        <w:t xml:space="preserve"> </w:t>
      </w:r>
    </w:p>
    <w:p w:rsidR="00E617D7" w:rsidRDefault="002A30C3">
      <w:pPr>
        <w:autoSpaceDE w:val="0"/>
        <w:autoSpaceDN w:val="0"/>
        <w:adjustRightInd w:val="0"/>
        <w:spacing w:beforeLines="50" w:before="156" w:line="360" w:lineRule="auto"/>
        <w:ind w:firstLineChars="200" w:firstLine="480"/>
        <w:jc w:val="left"/>
        <w:rPr>
          <w:color w:val="000000"/>
          <w:kern w:val="0"/>
          <w:sz w:val="24"/>
        </w:rPr>
        <w:sectPr w:rsidR="00E617D7">
          <w:pgSz w:w="11906" w:h="16838"/>
          <w:pgMar w:top="1440" w:right="1800" w:bottom="1440" w:left="1800" w:header="851" w:footer="992" w:gutter="0"/>
          <w:cols w:space="425"/>
          <w:docGrid w:type="lines" w:linePitch="312"/>
        </w:sectPr>
      </w:pPr>
      <w:r>
        <w:rPr>
          <w:color w:val="000000"/>
          <w:kern w:val="0"/>
          <w:sz w:val="24"/>
        </w:rPr>
        <w:t>201</w:t>
      </w:r>
      <w:r>
        <w:rPr>
          <w:color w:val="000000"/>
          <w:kern w:val="0"/>
          <w:sz w:val="24"/>
        </w:rPr>
        <w:t>8</w:t>
      </w:r>
      <w:r>
        <w:rPr>
          <w:color w:val="000000"/>
          <w:kern w:val="0"/>
          <w:sz w:val="24"/>
        </w:rPr>
        <w:t>年度内，未召开债券持有人会议。</w:t>
      </w:r>
    </w:p>
    <w:p w:rsidR="00E617D7" w:rsidRDefault="002A30C3">
      <w:pPr>
        <w:pStyle w:val="1"/>
        <w:jc w:val="center"/>
        <w:rPr>
          <w:sz w:val="28"/>
          <w:szCs w:val="28"/>
        </w:rPr>
      </w:pPr>
      <w:bookmarkStart w:id="13" w:name="_Toc1871"/>
      <w:r>
        <w:rPr>
          <w:sz w:val="28"/>
          <w:szCs w:val="28"/>
        </w:rPr>
        <w:lastRenderedPageBreak/>
        <w:t>第八章</w:t>
      </w:r>
      <w:r>
        <w:rPr>
          <w:sz w:val="28"/>
          <w:szCs w:val="28"/>
        </w:rPr>
        <w:t xml:space="preserve"> </w:t>
      </w:r>
      <w:r>
        <w:rPr>
          <w:sz w:val="28"/>
          <w:szCs w:val="28"/>
        </w:rPr>
        <w:t>本期债券本息偿付情况</w:t>
      </w:r>
      <w:bookmarkEnd w:id="13"/>
      <w:r>
        <w:rPr>
          <w:sz w:val="28"/>
          <w:szCs w:val="28"/>
        </w:rPr>
        <w:t xml:space="preserve"> </w:t>
      </w:r>
    </w:p>
    <w:p w:rsidR="00E617D7" w:rsidRDefault="002A30C3">
      <w:pPr>
        <w:autoSpaceDE w:val="0"/>
        <w:autoSpaceDN w:val="0"/>
        <w:adjustRightInd w:val="0"/>
        <w:spacing w:beforeLines="50" w:before="156" w:afterLines="50" w:after="156" w:line="360" w:lineRule="auto"/>
        <w:jc w:val="left"/>
        <w:rPr>
          <w:b/>
          <w:color w:val="000000"/>
          <w:kern w:val="0"/>
          <w:sz w:val="24"/>
        </w:rPr>
      </w:pPr>
      <w:r>
        <w:rPr>
          <w:b/>
          <w:color w:val="000000"/>
          <w:kern w:val="0"/>
          <w:sz w:val="24"/>
        </w:rPr>
        <w:t>一、利息偿付情况</w:t>
      </w:r>
    </w:p>
    <w:p w:rsidR="00E617D7" w:rsidRDefault="002A30C3">
      <w:pPr>
        <w:autoSpaceDE w:val="0"/>
        <w:autoSpaceDN w:val="0"/>
        <w:adjustRightInd w:val="0"/>
        <w:spacing w:beforeLines="50" w:before="156" w:line="360" w:lineRule="auto"/>
        <w:ind w:firstLineChars="200" w:firstLine="480"/>
        <w:jc w:val="left"/>
        <w:rPr>
          <w:color w:val="000000"/>
          <w:kern w:val="0"/>
          <w:sz w:val="24"/>
        </w:rPr>
      </w:pPr>
      <w:r>
        <w:rPr>
          <w:color w:val="000000"/>
          <w:kern w:val="0"/>
          <w:sz w:val="24"/>
        </w:rPr>
        <w:t>本期债券于</w:t>
      </w:r>
      <w:r>
        <w:rPr>
          <w:color w:val="000000"/>
          <w:kern w:val="0"/>
          <w:sz w:val="24"/>
        </w:rPr>
        <w:t>2013</w:t>
      </w:r>
      <w:r>
        <w:rPr>
          <w:color w:val="000000"/>
          <w:kern w:val="0"/>
          <w:sz w:val="24"/>
        </w:rPr>
        <w:t>年</w:t>
      </w:r>
      <w:r>
        <w:rPr>
          <w:color w:val="000000"/>
          <w:kern w:val="0"/>
          <w:sz w:val="24"/>
        </w:rPr>
        <w:t>12</w:t>
      </w:r>
      <w:r>
        <w:rPr>
          <w:color w:val="000000"/>
          <w:kern w:val="0"/>
          <w:sz w:val="24"/>
        </w:rPr>
        <w:t>月</w:t>
      </w:r>
      <w:r>
        <w:rPr>
          <w:color w:val="000000"/>
          <w:kern w:val="0"/>
          <w:sz w:val="24"/>
        </w:rPr>
        <w:t>3</w:t>
      </w:r>
      <w:r>
        <w:rPr>
          <w:color w:val="000000"/>
          <w:kern w:val="0"/>
          <w:sz w:val="24"/>
        </w:rPr>
        <w:t>日正式起息，本期债券计息期限内每年的</w:t>
      </w:r>
      <w:r>
        <w:rPr>
          <w:color w:val="000000"/>
          <w:kern w:val="0"/>
          <w:sz w:val="24"/>
        </w:rPr>
        <w:t>12</w:t>
      </w:r>
      <w:r>
        <w:rPr>
          <w:color w:val="000000"/>
          <w:kern w:val="0"/>
          <w:sz w:val="24"/>
        </w:rPr>
        <w:t>月</w:t>
      </w:r>
      <w:r>
        <w:rPr>
          <w:color w:val="000000"/>
          <w:kern w:val="0"/>
          <w:sz w:val="24"/>
        </w:rPr>
        <w:t>3</w:t>
      </w:r>
      <w:r>
        <w:rPr>
          <w:color w:val="000000"/>
          <w:kern w:val="0"/>
          <w:sz w:val="24"/>
        </w:rPr>
        <w:t>日为该计息年度的起息日。</w:t>
      </w:r>
    </w:p>
    <w:p w:rsidR="00E617D7" w:rsidRDefault="002A30C3">
      <w:pPr>
        <w:autoSpaceDE w:val="0"/>
        <w:autoSpaceDN w:val="0"/>
        <w:adjustRightInd w:val="0"/>
        <w:spacing w:beforeLines="50" w:before="156" w:line="360" w:lineRule="auto"/>
        <w:ind w:firstLineChars="200" w:firstLine="480"/>
        <w:jc w:val="left"/>
        <w:rPr>
          <w:color w:val="000000"/>
          <w:kern w:val="0"/>
          <w:sz w:val="24"/>
        </w:rPr>
      </w:pPr>
      <w:r>
        <w:rPr>
          <w:color w:val="000000"/>
          <w:kern w:val="0"/>
          <w:sz w:val="24"/>
        </w:rPr>
        <w:t>发行人于</w:t>
      </w:r>
      <w:r>
        <w:rPr>
          <w:color w:val="000000"/>
          <w:kern w:val="0"/>
          <w:sz w:val="24"/>
        </w:rPr>
        <w:t>201</w:t>
      </w:r>
      <w:r>
        <w:rPr>
          <w:rFonts w:hint="eastAsia"/>
          <w:color w:val="000000"/>
          <w:kern w:val="0"/>
          <w:sz w:val="24"/>
        </w:rPr>
        <w:t>8</w:t>
      </w:r>
      <w:r>
        <w:rPr>
          <w:color w:val="000000"/>
          <w:kern w:val="0"/>
          <w:sz w:val="24"/>
        </w:rPr>
        <w:t>年</w:t>
      </w:r>
      <w:r>
        <w:rPr>
          <w:color w:val="000000"/>
          <w:kern w:val="0"/>
          <w:sz w:val="24"/>
        </w:rPr>
        <w:t>12</w:t>
      </w:r>
      <w:r>
        <w:rPr>
          <w:color w:val="000000"/>
          <w:kern w:val="0"/>
          <w:sz w:val="24"/>
        </w:rPr>
        <w:t>月</w:t>
      </w:r>
      <w:r>
        <w:rPr>
          <w:color w:val="000000"/>
          <w:kern w:val="0"/>
          <w:sz w:val="24"/>
        </w:rPr>
        <w:t>3</w:t>
      </w:r>
      <w:r>
        <w:rPr>
          <w:color w:val="000000"/>
          <w:kern w:val="0"/>
          <w:sz w:val="24"/>
        </w:rPr>
        <w:t>日按期支付了本期债券自</w:t>
      </w:r>
      <w:r>
        <w:rPr>
          <w:color w:val="000000"/>
          <w:kern w:val="0"/>
          <w:sz w:val="24"/>
        </w:rPr>
        <w:t>201</w:t>
      </w:r>
      <w:r>
        <w:rPr>
          <w:color w:val="000000"/>
          <w:kern w:val="0"/>
          <w:sz w:val="24"/>
        </w:rPr>
        <w:t>7</w:t>
      </w:r>
      <w:r>
        <w:rPr>
          <w:color w:val="000000"/>
          <w:kern w:val="0"/>
          <w:sz w:val="24"/>
        </w:rPr>
        <w:t>年</w:t>
      </w:r>
      <w:r>
        <w:rPr>
          <w:color w:val="000000"/>
          <w:kern w:val="0"/>
          <w:sz w:val="24"/>
        </w:rPr>
        <w:t>12</w:t>
      </w:r>
      <w:r>
        <w:rPr>
          <w:color w:val="000000"/>
          <w:kern w:val="0"/>
          <w:sz w:val="24"/>
        </w:rPr>
        <w:t>月</w:t>
      </w:r>
      <w:r>
        <w:rPr>
          <w:color w:val="000000"/>
          <w:kern w:val="0"/>
          <w:sz w:val="24"/>
        </w:rPr>
        <w:t>3</w:t>
      </w:r>
      <w:r>
        <w:rPr>
          <w:color w:val="000000"/>
          <w:kern w:val="0"/>
          <w:sz w:val="24"/>
        </w:rPr>
        <w:t>日至</w:t>
      </w:r>
      <w:r>
        <w:rPr>
          <w:color w:val="000000"/>
          <w:kern w:val="0"/>
          <w:sz w:val="24"/>
        </w:rPr>
        <w:t>201</w:t>
      </w:r>
      <w:r>
        <w:rPr>
          <w:color w:val="000000"/>
          <w:kern w:val="0"/>
          <w:sz w:val="24"/>
        </w:rPr>
        <w:t>8</w:t>
      </w:r>
      <w:r>
        <w:rPr>
          <w:color w:val="000000"/>
          <w:kern w:val="0"/>
          <w:sz w:val="24"/>
        </w:rPr>
        <w:t>年</w:t>
      </w:r>
      <w:r>
        <w:rPr>
          <w:color w:val="000000"/>
          <w:kern w:val="0"/>
          <w:sz w:val="24"/>
        </w:rPr>
        <w:t>12</w:t>
      </w:r>
      <w:r>
        <w:rPr>
          <w:color w:val="000000"/>
          <w:kern w:val="0"/>
          <w:sz w:val="24"/>
        </w:rPr>
        <w:t>月</w:t>
      </w:r>
      <w:r>
        <w:rPr>
          <w:color w:val="000000"/>
          <w:kern w:val="0"/>
          <w:sz w:val="24"/>
        </w:rPr>
        <w:t>2</w:t>
      </w:r>
      <w:r>
        <w:rPr>
          <w:color w:val="000000"/>
          <w:kern w:val="0"/>
          <w:sz w:val="24"/>
        </w:rPr>
        <w:t>日期间的利息，付息债权登记日为</w:t>
      </w:r>
      <w:r>
        <w:rPr>
          <w:color w:val="000000"/>
          <w:kern w:val="0"/>
          <w:sz w:val="24"/>
        </w:rPr>
        <w:t>201</w:t>
      </w:r>
      <w:r>
        <w:rPr>
          <w:rFonts w:hint="eastAsia"/>
          <w:color w:val="000000"/>
          <w:kern w:val="0"/>
          <w:sz w:val="24"/>
        </w:rPr>
        <w:t>8</w:t>
      </w:r>
      <w:r>
        <w:rPr>
          <w:color w:val="000000"/>
          <w:kern w:val="0"/>
          <w:sz w:val="24"/>
        </w:rPr>
        <w:t>年</w:t>
      </w:r>
      <w:r>
        <w:rPr>
          <w:color w:val="000000"/>
          <w:kern w:val="0"/>
          <w:sz w:val="24"/>
        </w:rPr>
        <w:t>11</w:t>
      </w:r>
      <w:r>
        <w:rPr>
          <w:color w:val="000000"/>
          <w:kern w:val="0"/>
          <w:sz w:val="24"/>
        </w:rPr>
        <w:t>月</w:t>
      </w:r>
      <w:r>
        <w:rPr>
          <w:color w:val="000000"/>
          <w:kern w:val="0"/>
          <w:sz w:val="24"/>
        </w:rPr>
        <w:t>30</w:t>
      </w:r>
      <w:r>
        <w:rPr>
          <w:color w:val="000000"/>
          <w:kern w:val="0"/>
          <w:sz w:val="24"/>
        </w:rPr>
        <w:t>日，本期债券本次付息总金额为</w:t>
      </w:r>
      <w:r>
        <w:rPr>
          <w:color w:val="000000"/>
          <w:kern w:val="0"/>
          <w:sz w:val="24"/>
        </w:rPr>
        <w:t>1,950</w:t>
      </w:r>
      <w:r>
        <w:rPr>
          <w:rFonts w:hint="eastAsia"/>
          <w:color w:val="000000"/>
          <w:kern w:val="0"/>
          <w:sz w:val="24"/>
        </w:rPr>
        <w:t>.00</w:t>
      </w:r>
      <w:r>
        <w:rPr>
          <w:color w:val="000000"/>
          <w:kern w:val="0"/>
          <w:sz w:val="24"/>
        </w:rPr>
        <w:t>万元（含税）。</w:t>
      </w:r>
    </w:p>
    <w:p w:rsidR="00E617D7" w:rsidRDefault="002A30C3">
      <w:pPr>
        <w:autoSpaceDE w:val="0"/>
        <w:autoSpaceDN w:val="0"/>
        <w:adjustRightInd w:val="0"/>
        <w:spacing w:beforeLines="50" w:before="156" w:afterLines="50" w:after="156" w:line="360" w:lineRule="auto"/>
        <w:jc w:val="left"/>
        <w:rPr>
          <w:b/>
          <w:color w:val="000000"/>
          <w:kern w:val="0"/>
          <w:sz w:val="24"/>
        </w:rPr>
      </w:pPr>
      <w:r>
        <w:rPr>
          <w:b/>
          <w:color w:val="000000"/>
          <w:kern w:val="0"/>
          <w:sz w:val="24"/>
        </w:rPr>
        <w:t>二、上调票面利率和回售情况</w:t>
      </w:r>
    </w:p>
    <w:p w:rsidR="00E617D7" w:rsidRDefault="002A30C3">
      <w:pPr>
        <w:autoSpaceDE w:val="0"/>
        <w:autoSpaceDN w:val="0"/>
        <w:adjustRightInd w:val="0"/>
        <w:spacing w:beforeLines="50" w:before="156" w:line="360" w:lineRule="auto"/>
        <w:ind w:firstLineChars="200" w:firstLine="480"/>
        <w:jc w:val="left"/>
        <w:rPr>
          <w:color w:val="000000"/>
          <w:kern w:val="0"/>
          <w:sz w:val="24"/>
        </w:rPr>
      </w:pPr>
      <w:r>
        <w:rPr>
          <w:color w:val="000000"/>
          <w:kern w:val="0"/>
          <w:sz w:val="24"/>
        </w:rPr>
        <w:t>2018</w:t>
      </w:r>
      <w:r>
        <w:rPr>
          <w:color w:val="000000"/>
          <w:kern w:val="0"/>
          <w:sz w:val="24"/>
        </w:rPr>
        <w:t>年</w:t>
      </w:r>
      <w:r>
        <w:rPr>
          <w:color w:val="000000"/>
          <w:kern w:val="0"/>
          <w:sz w:val="24"/>
        </w:rPr>
        <w:t>11</w:t>
      </w:r>
      <w:r>
        <w:rPr>
          <w:color w:val="000000"/>
          <w:kern w:val="0"/>
          <w:sz w:val="24"/>
        </w:rPr>
        <w:t>月</w:t>
      </w:r>
      <w:r>
        <w:rPr>
          <w:color w:val="000000"/>
          <w:kern w:val="0"/>
          <w:sz w:val="24"/>
        </w:rPr>
        <w:t>13</w:t>
      </w:r>
      <w:r>
        <w:rPr>
          <w:color w:val="000000"/>
          <w:kern w:val="0"/>
          <w:sz w:val="24"/>
        </w:rPr>
        <w:t>日，发行人披露了《关于</w:t>
      </w:r>
      <w:r>
        <w:rPr>
          <w:color w:val="000000"/>
          <w:kern w:val="0"/>
          <w:sz w:val="24"/>
        </w:rPr>
        <w:t>“13</w:t>
      </w:r>
      <w:r>
        <w:rPr>
          <w:color w:val="000000"/>
          <w:kern w:val="0"/>
          <w:sz w:val="24"/>
        </w:rPr>
        <w:t>云煤业</w:t>
      </w:r>
      <w:r>
        <w:rPr>
          <w:color w:val="000000"/>
          <w:kern w:val="0"/>
          <w:sz w:val="24"/>
        </w:rPr>
        <w:t>”</w:t>
      </w:r>
      <w:r>
        <w:rPr>
          <w:color w:val="000000"/>
          <w:kern w:val="0"/>
          <w:sz w:val="24"/>
        </w:rPr>
        <w:t>公司债券票面利率调整的公告》。根据市场环境，发行人选择上调票面利率，上调幅度为</w:t>
      </w:r>
      <w:r>
        <w:rPr>
          <w:color w:val="000000"/>
          <w:kern w:val="0"/>
          <w:sz w:val="24"/>
        </w:rPr>
        <w:t>100</w:t>
      </w:r>
      <w:r>
        <w:rPr>
          <w:color w:val="000000"/>
          <w:kern w:val="0"/>
          <w:sz w:val="24"/>
        </w:rPr>
        <w:t>个基点，上调后票面利率为</w:t>
      </w:r>
      <w:r>
        <w:rPr>
          <w:color w:val="000000"/>
          <w:kern w:val="0"/>
          <w:sz w:val="24"/>
        </w:rPr>
        <w:t>8.8%</w:t>
      </w:r>
      <w:r>
        <w:rPr>
          <w:color w:val="000000"/>
          <w:kern w:val="0"/>
          <w:sz w:val="24"/>
        </w:rPr>
        <w:t>，即本期债券第</w:t>
      </w:r>
      <w:r>
        <w:rPr>
          <w:color w:val="000000"/>
          <w:kern w:val="0"/>
          <w:sz w:val="24"/>
        </w:rPr>
        <w:t>6</w:t>
      </w:r>
      <w:r>
        <w:rPr>
          <w:color w:val="000000"/>
          <w:kern w:val="0"/>
          <w:sz w:val="24"/>
        </w:rPr>
        <w:t>年起票面利率固定为</w:t>
      </w:r>
      <w:r>
        <w:rPr>
          <w:color w:val="000000"/>
          <w:kern w:val="0"/>
          <w:sz w:val="24"/>
        </w:rPr>
        <w:t>8.8%</w:t>
      </w:r>
      <w:r>
        <w:rPr>
          <w:color w:val="000000"/>
          <w:kern w:val="0"/>
          <w:sz w:val="24"/>
        </w:rPr>
        <w:t>，并在其存续期后</w:t>
      </w:r>
      <w:r>
        <w:rPr>
          <w:color w:val="000000"/>
          <w:kern w:val="0"/>
          <w:sz w:val="24"/>
        </w:rPr>
        <w:t>2</w:t>
      </w:r>
      <w:r>
        <w:rPr>
          <w:color w:val="000000"/>
          <w:kern w:val="0"/>
          <w:sz w:val="24"/>
        </w:rPr>
        <w:t>年保持不变。</w:t>
      </w:r>
    </w:p>
    <w:p w:rsidR="00E617D7" w:rsidRDefault="002A30C3">
      <w:pPr>
        <w:autoSpaceDE w:val="0"/>
        <w:autoSpaceDN w:val="0"/>
        <w:adjustRightInd w:val="0"/>
        <w:spacing w:beforeLines="50" w:before="156" w:line="360" w:lineRule="auto"/>
        <w:ind w:firstLineChars="200" w:firstLine="480"/>
        <w:jc w:val="left"/>
        <w:rPr>
          <w:color w:val="000000"/>
          <w:kern w:val="0"/>
          <w:sz w:val="24"/>
        </w:rPr>
      </w:pPr>
      <w:r>
        <w:rPr>
          <w:color w:val="000000"/>
          <w:kern w:val="0"/>
          <w:sz w:val="24"/>
        </w:rPr>
        <w:t>根据</w:t>
      </w:r>
      <w:r>
        <w:rPr>
          <w:color w:val="000000"/>
          <w:kern w:val="0"/>
          <w:sz w:val="24"/>
        </w:rPr>
        <w:t>本期债券募集说明书</w:t>
      </w:r>
      <w:r>
        <w:rPr>
          <w:color w:val="000000"/>
          <w:kern w:val="0"/>
          <w:sz w:val="24"/>
        </w:rPr>
        <w:t>所设定的公司债券回售条款，本期债券的持有人有权在本期债券的第</w:t>
      </w:r>
      <w:r>
        <w:rPr>
          <w:color w:val="000000"/>
          <w:kern w:val="0"/>
          <w:sz w:val="24"/>
        </w:rPr>
        <w:t>5</w:t>
      </w:r>
      <w:r>
        <w:rPr>
          <w:color w:val="000000"/>
          <w:kern w:val="0"/>
          <w:sz w:val="24"/>
        </w:rPr>
        <w:t>个计息年度付息日将其持有的全部或部分本期债券按面值回售给发行人。</w:t>
      </w:r>
      <w:r>
        <w:rPr>
          <w:color w:val="000000"/>
          <w:kern w:val="0"/>
          <w:sz w:val="24"/>
        </w:rPr>
        <w:t>2018</w:t>
      </w:r>
      <w:r>
        <w:rPr>
          <w:color w:val="000000"/>
          <w:kern w:val="0"/>
          <w:sz w:val="24"/>
        </w:rPr>
        <w:t>年</w:t>
      </w:r>
      <w:r>
        <w:rPr>
          <w:color w:val="000000"/>
          <w:kern w:val="0"/>
          <w:sz w:val="24"/>
        </w:rPr>
        <w:t>11</w:t>
      </w:r>
      <w:r>
        <w:rPr>
          <w:color w:val="000000"/>
          <w:kern w:val="0"/>
          <w:sz w:val="24"/>
        </w:rPr>
        <w:t>月</w:t>
      </w:r>
      <w:r>
        <w:rPr>
          <w:color w:val="000000"/>
          <w:kern w:val="0"/>
          <w:sz w:val="24"/>
        </w:rPr>
        <w:t>13</w:t>
      </w:r>
      <w:r>
        <w:rPr>
          <w:color w:val="000000"/>
          <w:kern w:val="0"/>
          <w:sz w:val="24"/>
        </w:rPr>
        <w:t>日，发行人披露了《关于</w:t>
      </w:r>
      <w:r>
        <w:rPr>
          <w:color w:val="000000"/>
          <w:kern w:val="0"/>
          <w:sz w:val="24"/>
        </w:rPr>
        <w:t>“13</w:t>
      </w:r>
      <w:r>
        <w:rPr>
          <w:color w:val="000000"/>
          <w:kern w:val="0"/>
          <w:sz w:val="24"/>
        </w:rPr>
        <w:t>云煤业</w:t>
      </w:r>
      <w:r>
        <w:rPr>
          <w:color w:val="000000"/>
          <w:kern w:val="0"/>
          <w:sz w:val="24"/>
        </w:rPr>
        <w:t>”</w:t>
      </w:r>
      <w:r>
        <w:rPr>
          <w:color w:val="000000"/>
          <w:kern w:val="0"/>
          <w:sz w:val="24"/>
        </w:rPr>
        <w:t>公司债券回售公告》，并于</w:t>
      </w:r>
      <w:r>
        <w:rPr>
          <w:color w:val="000000"/>
          <w:kern w:val="0"/>
          <w:sz w:val="24"/>
        </w:rPr>
        <w:t>2018</w:t>
      </w:r>
      <w:r>
        <w:rPr>
          <w:color w:val="000000"/>
          <w:kern w:val="0"/>
          <w:sz w:val="24"/>
        </w:rPr>
        <w:t>年</w:t>
      </w:r>
      <w:r>
        <w:rPr>
          <w:color w:val="000000"/>
          <w:kern w:val="0"/>
          <w:sz w:val="24"/>
        </w:rPr>
        <w:t>11</w:t>
      </w:r>
      <w:r>
        <w:rPr>
          <w:color w:val="000000"/>
          <w:kern w:val="0"/>
          <w:sz w:val="24"/>
        </w:rPr>
        <w:t>月</w:t>
      </w:r>
      <w:r>
        <w:rPr>
          <w:color w:val="000000"/>
          <w:kern w:val="0"/>
          <w:sz w:val="24"/>
        </w:rPr>
        <w:t>14</w:t>
      </w:r>
      <w:r>
        <w:rPr>
          <w:color w:val="000000"/>
          <w:kern w:val="0"/>
          <w:sz w:val="24"/>
        </w:rPr>
        <w:t>日、</w:t>
      </w:r>
      <w:r>
        <w:rPr>
          <w:color w:val="000000"/>
          <w:kern w:val="0"/>
          <w:sz w:val="24"/>
        </w:rPr>
        <w:t>16</w:t>
      </w:r>
      <w:r>
        <w:rPr>
          <w:color w:val="000000"/>
          <w:kern w:val="0"/>
          <w:sz w:val="24"/>
        </w:rPr>
        <w:t>日、</w:t>
      </w:r>
      <w:r>
        <w:rPr>
          <w:color w:val="000000"/>
          <w:kern w:val="0"/>
          <w:sz w:val="24"/>
        </w:rPr>
        <w:t>19</w:t>
      </w:r>
      <w:r>
        <w:rPr>
          <w:color w:val="000000"/>
          <w:kern w:val="0"/>
          <w:sz w:val="24"/>
        </w:rPr>
        <w:t>日分别发布了三次提示性公告。根据中国证券登记结算有限责任公司上海分公司提供的债券回售申报数据，本期债券的回售有效申报数量</w:t>
      </w:r>
      <w:r>
        <w:rPr>
          <w:color w:val="000000"/>
          <w:kern w:val="0"/>
          <w:sz w:val="24"/>
        </w:rPr>
        <w:t>599,910</w:t>
      </w:r>
      <w:r>
        <w:rPr>
          <w:color w:val="000000"/>
          <w:kern w:val="0"/>
          <w:sz w:val="24"/>
        </w:rPr>
        <w:t>张，回售金额为</w:t>
      </w:r>
      <w:r>
        <w:rPr>
          <w:color w:val="000000"/>
          <w:kern w:val="0"/>
          <w:sz w:val="24"/>
        </w:rPr>
        <w:t>59,991,000.00</w:t>
      </w:r>
      <w:r>
        <w:rPr>
          <w:color w:val="000000"/>
          <w:kern w:val="0"/>
          <w:sz w:val="24"/>
        </w:rPr>
        <w:t>元（不含利息）。</w:t>
      </w:r>
      <w:r>
        <w:rPr>
          <w:color w:val="000000"/>
          <w:kern w:val="0"/>
          <w:sz w:val="24"/>
        </w:rPr>
        <w:t>2018</w:t>
      </w:r>
      <w:r>
        <w:rPr>
          <w:color w:val="000000"/>
          <w:kern w:val="0"/>
          <w:sz w:val="24"/>
        </w:rPr>
        <w:t>年</w:t>
      </w:r>
      <w:r>
        <w:rPr>
          <w:color w:val="000000"/>
          <w:kern w:val="0"/>
          <w:sz w:val="24"/>
        </w:rPr>
        <w:t>12</w:t>
      </w:r>
      <w:r>
        <w:rPr>
          <w:color w:val="000000"/>
          <w:kern w:val="0"/>
          <w:sz w:val="24"/>
        </w:rPr>
        <w:t>月</w:t>
      </w:r>
      <w:r>
        <w:rPr>
          <w:color w:val="000000"/>
          <w:kern w:val="0"/>
          <w:sz w:val="24"/>
        </w:rPr>
        <w:t>3</w:t>
      </w:r>
      <w:r>
        <w:rPr>
          <w:color w:val="000000"/>
          <w:kern w:val="0"/>
          <w:sz w:val="24"/>
        </w:rPr>
        <w:t>日，公司对有效申报回售的本期债券持有人支付了本金及当期利息。本</w:t>
      </w:r>
      <w:r>
        <w:rPr>
          <w:color w:val="000000"/>
          <w:kern w:val="0"/>
          <w:sz w:val="24"/>
        </w:rPr>
        <w:t>次回售实施完毕后，本期债券在中国证券登记结算有限责任公司上海分公司剩余托管数量为</w:t>
      </w:r>
      <w:r>
        <w:rPr>
          <w:color w:val="000000"/>
          <w:kern w:val="0"/>
          <w:sz w:val="24"/>
        </w:rPr>
        <w:t>1,900,090</w:t>
      </w:r>
      <w:r>
        <w:rPr>
          <w:color w:val="000000"/>
          <w:kern w:val="0"/>
          <w:sz w:val="24"/>
        </w:rPr>
        <w:t>张，总面值</w:t>
      </w:r>
      <w:r>
        <w:rPr>
          <w:rFonts w:hint="eastAsia"/>
          <w:color w:val="000000"/>
          <w:kern w:val="0"/>
          <w:sz w:val="24"/>
        </w:rPr>
        <w:t>为</w:t>
      </w:r>
      <w:r>
        <w:rPr>
          <w:color w:val="000000"/>
          <w:kern w:val="0"/>
          <w:sz w:val="24"/>
        </w:rPr>
        <w:t>190,009,000.00</w:t>
      </w:r>
      <w:r>
        <w:rPr>
          <w:color w:val="000000"/>
          <w:kern w:val="0"/>
          <w:sz w:val="24"/>
        </w:rPr>
        <w:t>元。</w:t>
      </w:r>
    </w:p>
    <w:p w:rsidR="00E617D7" w:rsidRDefault="00E617D7">
      <w:pPr>
        <w:autoSpaceDE w:val="0"/>
        <w:autoSpaceDN w:val="0"/>
        <w:adjustRightInd w:val="0"/>
        <w:spacing w:beforeLines="50" w:before="156" w:line="360" w:lineRule="auto"/>
        <w:ind w:firstLineChars="200" w:firstLine="480"/>
        <w:jc w:val="left"/>
        <w:rPr>
          <w:color w:val="000000"/>
          <w:kern w:val="0"/>
          <w:sz w:val="24"/>
        </w:rPr>
      </w:pPr>
    </w:p>
    <w:p w:rsidR="00E617D7" w:rsidRDefault="00E617D7">
      <w:pPr>
        <w:autoSpaceDE w:val="0"/>
        <w:autoSpaceDN w:val="0"/>
        <w:adjustRightInd w:val="0"/>
        <w:spacing w:beforeLines="50" w:before="156" w:line="360" w:lineRule="auto"/>
        <w:ind w:firstLineChars="200" w:firstLine="480"/>
        <w:jc w:val="left"/>
        <w:rPr>
          <w:color w:val="000000"/>
          <w:kern w:val="0"/>
          <w:sz w:val="24"/>
        </w:rPr>
        <w:sectPr w:rsidR="00E617D7">
          <w:pgSz w:w="11906" w:h="16838"/>
          <w:pgMar w:top="1440" w:right="1800" w:bottom="1440" w:left="1800" w:header="851" w:footer="992" w:gutter="0"/>
          <w:cols w:space="425"/>
          <w:docGrid w:type="lines" w:linePitch="312"/>
        </w:sectPr>
      </w:pPr>
    </w:p>
    <w:p w:rsidR="00E617D7" w:rsidRDefault="002A30C3">
      <w:pPr>
        <w:pStyle w:val="1"/>
        <w:jc w:val="center"/>
        <w:rPr>
          <w:sz w:val="28"/>
          <w:szCs w:val="28"/>
        </w:rPr>
      </w:pPr>
      <w:bookmarkStart w:id="14" w:name="_Toc13908"/>
      <w:r>
        <w:rPr>
          <w:sz w:val="28"/>
          <w:szCs w:val="28"/>
        </w:rPr>
        <w:lastRenderedPageBreak/>
        <w:t>第九章</w:t>
      </w:r>
      <w:r>
        <w:rPr>
          <w:sz w:val="28"/>
          <w:szCs w:val="28"/>
        </w:rPr>
        <w:t xml:space="preserve"> </w:t>
      </w:r>
      <w:r>
        <w:rPr>
          <w:sz w:val="28"/>
          <w:szCs w:val="28"/>
        </w:rPr>
        <w:t>本期债券跟踪评级情况</w:t>
      </w:r>
      <w:bookmarkEnd w:id="14"/>
    </w:p>
    <w:p w:rsidR="00E617D7" w:rsidRDefault="002A30C3">
      <w:pPr>
        <w:autoSpaceDE w:val="0"/>
        <w:autoSpaceDN w:val="0"/>
        <w:adjustRightInd w:val="0"/>
        <w:spacing w:beforeLines="50" w:before="156" w:line="360" w:lineRule="auto"/>
        <w:ind w:firstLineChars="200" w:firstLine="480"/>
        <w:jc w:val="left"/>
        <w:rPr>
          <w:color w:val="000000"/>
          <w:kern w:val="0"/>
          <w:sz w:val="24"/>
        </w:rPr>
      </w:pPr>
      <w:r>
        <w:rPr>
          <w:color w:val="000000"/>
          <w:kern w:val="0"/>
          <w:sz w:val="24"/>
        </w:rPr>
        <w:t>201</w:t>
      </w:r>
      <w:r>
        <w:rPr>
          <w:color w:val="000000"/>
          <w:kern w:val="0"/>
          <w:sz w:val="24"/>
        </w:rPr>
        <w:t>8</w:t>
      </w:r>
      <w:r>
        <w:rPr>
          <w:color w:val="000000"/>
          <w:kern w:val="0"/>
          <w:sz w:val="24"/>
        </w:rPr>
        <w:t>年</w:t>
      </w:r>
      <w:r>
        <w:rPr>
          <w:color w:val="000000"/>
          <w:kern w:val="0"/>
          <w:sz w:val="24"/>
        </w:rPr>
        <w:t>6</w:t>
      </w:r>
      <w:r>
        <w:rPr>
          <w:color w:val="000000"/>
          <w:kern w:val="0"/>
          <w:sz w:val="24"/>
        </w:rPr>
        <w:t>月</w:t>
      </w:r>
      <w:r>
        <w:rPr>
          <w:color w:val="000000"/>
          <w:kern w:val="0"/>
          <w:sz w:val="24"/>
        </w:rPr>
        <w:t>1</w:t>
      </w:r>
      <w:r>
        <w:rPr>
          <w:color w:val="000000"/>
          <w:kern w:val="0"/>
          <w:sz w:val="24"/>
        </w:rPr>
        <w:t>日，联合信用评级有限公司对发行人主体长期信用状况和</w:t>
      </w:r>
      <w:r>
        <w:rPr>
          <w:color w:val="000000"/>
          <w:kern w:val="0"/>
          <w:sz w:val="24"/>
        </w:rPr>
        <w:t>“13</w:t>
      </w:r>
      <w:r>
        <w:rPr>
          <w:color w:val="000000"/>
          <w:kern w:val="0"/>
          <w:sz w:val="24"/>
        </w:rPr>
        <w:t>云煤业</w:t>
      </w:r>
      <w:r>
        <w:rPr>
          <w:color w:val="000000"/>
          <w:kern w:val="0"/>
          <w:sz w:val="24"/>
        </w:rPr>
        <w:t>”</w:t>
      </w:r>
      <w:r>
        <w:rPr>
          <w:color w:val="000000"/>
          <w:kern w:val="0"/>
          <w:sz w:val="24"/>
        </w:rPr>
        <w:t>进行了跟踪评级，并出具了</w:t>
      </w:r>
      <w:r>
        <w:rPr>
          <w:color w:val="000000"/>
          <w:kern w:val="0"/>
          <w:sz w:val="24"/>
        </w:rPr>
        <w:t>“</w:t>
      </w:r>
      <w:r>
        <w:rPr>
          <w:color w:val="000000"/>
          <w:kern w:val="0"/>
          <w:sz w:val="24"/>
        </w:rPr>
        <w:t>联合</w:t>
      </w:r>
      <w:r>
        <w:rPr>
          <w:color w:val="000000"/>
          <w:kern w:val="0"/>
          <w:sz w:val="24"/>
        </w:rPr>
        <w:t>[201</w:t>
      </w:r>
      <w:r>
        <w:rPr>
          <w:color w:val="000000"/>
          <w:kern w:val="0"/>
          <w:sz w:val="24"/>
        </w:rPr>
        <w:t>8</w:t>
      </w:r>
      <w:r>
        <w:rPr>
          <w:color w:val="000000"/>
          <w:kern w:val="0"/>
          <w:sz w:val="24"/>
        </w:rPr>
        <w:t>]</w:t>
      </w:r>
      <w:r>
        <w:rPr>
          <w:color w:val="000000"/>
          <w:kern w:val="0"/>
          <w:sz w:val="24"/>
        </w:rPr>
        <w:t>639</w:t>
      </w:r>
      <w:r>
        <w:rPr>
          <w:color w:val="000000"/>
          <w:kern w:val="0"/>
          <w:sz w:val="24"/>
        </w:rPr>
        <w:t>号</w:t>
      </w:r>
      <w:r>
        <w:rPr>
          <w:color w:val="000000"/>
          <w:kern w:val="0"/>
          <w:sz w:val="24"/>
        </w:rPr>
        <w:t>”</w:t>
      </w:r>
      <w:r>
        <w:rPr>
          <w:color w:val="000000"/>
          <w:kern w:val="0"/>
          <w:sz w:val="24"/>
        </w:rPr>
        <w:t>《跟踪评级公告》，确定：发行人主体长期信用等级为</w:t>
      </w:r>
      <w:r>
        <w:rPr>
          <w:color w:val="000000"/>
          <w:kern w:val="0"/>
          <w:sz w:val="24"/>
        </w:rPr>
        <w:t>AA-</w:t>
      </w:r>
      <w:r>
        <w:rPr>
          <w:color w:val="000000"/>
          <w:kern w:val="0"/>
          <w:sz w:val="24"/>
        </w:rPr>
        <w:t>，评级展望为</w:t>
      </w:r>
      <w:r>
        <w:rPr>
          <w:color w:val="000000"/>
          <w:kern w:val="0"/>
          <w:sz w:val="24"/>
        </w:rPr>
        <w:t>“</w:t>
      </w:r>
      <w:r>
        <w:rPr>
          <w:color w:val="000000"/>
          <w:kern w:val="0"/>
          <w:sz w:val="24"/>
        </w:rPr>
        <w:t>稳定</w:t>
      </w:r>
      <w:r>
        <w:rPr>
          <w:color w:val="000000"/>
          <w:kern w:val="0"/>
          <w:sz w:val="24"/>
        </w:rPr>
        <w:t>”</w:t>
      </w:r>
      <w:r>
        <w:rPr>
          <w:color w:val="000000"/>
          <w:kern w:val="0"/>
          <w:sz w:val="24"/>
        </w:rPr>
        <w:t>；</w:t>
      </w:r>
      <w:r>
        <w:rPr>
          <w:color w:val="000000"/>
          <w:kern w:val="0"/>
          <w:sz w:val="24"/>
        </w:rPr>
        <w:t>“13</w:t>
      </w:r>
      <w:r>
        <w:rPr>
          <w:color w:val="000000"/>
          <w:kern w:val="0"/>
          <w:sz w:val="24"/>
        </w:rPr>
        <w:t>云煤业</w:t>
      </w:r>
      <w:r>
        <w:rPr>
          <w:color w:val="000000"/>
          <w:kern w:val="0"/>
          <w:sz w:val="24"/>
        </w:rPr>
        <w:t>”</w:t>
      </w:r>
      <w:r>
        <w:rPr>
          <w:color w:val="000000"/>
          <w:kern w:val="0"/>
          <w:sz w:val="24"/>
        </w:rPr>
        <w:t>债券信用等级为</w:t>
      </w:r>
      <w:r>
        <w:rPr>
          <w:color w:val="000000"/>
          <w:kern w:val="0"/>
          <w:sz w:val="24"/>
        </w:rPr>
        <w:t>AA</w:t>
      </w:r>
      <w:r>
        <w:rPr>
          <w:color w:val="000000"/>
          <w:kern w:val="0"/>
          <w:sz w:val="24"/>
        </w:rPr>
        <w:t>。</w:t>
      </w:r>
    </w:p>
    <w:p w:rsidR="00E617D7" w:rsidRDefault="002A30C3">
      <w:pPr>
        <w:autoSpaceDE w:val="0"/>
        <w:autoSpaceDN w:val="0"/>
        <w:adjustRightInd w:val="0"/>
        <w:spacing w:beforeLines="50" w:before="156" w:line="360" w:lineRule="auto"/>
        <w:ind w:firstLineChars="200" w:firstLine="480"/>
        <w:jc w:val="left"/>
        <w:rPr>
          <w:color w:val="000000"/>
          <w:kern w:val="0"/>
          <w:sz w:val="24"/>
        </w:rPr>
      </w:pPr>
      <w:r>
        <w:rPr>
          <w:color w:val="000000"/>
          <w:kern w:val="0"/>
          <w:sz w:val="24"/>
        </w:rPr>
        <w:t>在本期债券的存续期内，</w:t>
      </w:r>
      <w:r>
        <w:rPr>
          <w:color w:val="000000"/>
          <w:kern w:val="0"/>
          <w:sz w:val="24"/>
        </w:rPr>
        <w:t>资信评级机构</w:t>
      </w:r>
      <w:r>
        <w:rPr>
          <w:color w:val="000000"/>
          <w:kern w:val="0"/>
          <w:sz w:val="24"/>
        </w:rPr>
        <w:t>每年将至少出具一次正式的定</w:t>
      </w:r>
      <w:r>
        <w:rPr>
          <w:color w:val="000000"/>
          <w:kern w:val="0"/>
          <w:sz w:val="24"/>
        </w:rPr>
        <w:t>期跟踪评级报告。</w:t>
      </w:r>
    </w:p>
    <w:p w:rsidR="00E617D7" w:rsidRDefault="002A30C3">
      <w:pPr>
        <w:widowControl/>
        <w:jc w:val="left"/>
        <w:rPr>
          <w:color w:val="000000"/>
          <w:kern w:val="0"/>
          <w:sz w:val="24"/>
        </w:rPr>
      </w:pPr>
      <w:r>
        <w:rPr>
          <w:color w:val="000000"/>
          <w:kern w:val="0"/>
          <w:sz w:val="24"/>
        </w:rPr>
        <w:br w:type="page"/>
      </w:r>
    </w:p>
    <w:p w:rsidR="00E617D7" w:rsidRDefault="002A30C3">
      <w:pPr>
        <w:pStyle w:val="1"/>
        <w:jc w:val="center"/>
        <w:rPr>
          <w:sz w:val="28"/>
          <w:szCs w:val="28"/>
        </w:rPr>
      </w:pPr>
      <w:bookmarkStart w:id="15" w:name="_Toc13913"/>
      <w:r>
        <w:rPr>
          <w:sz w:val="28"/>
          <w:szCs w:val="28"/>
        </w:rPr>
        <w:lastRenderedPageBreak/>
        <w:t>第十章</w:t>
      </w:r>
      <w:r>
        <w:rPr>
          <w:sz w:val="28"/>
          <w:szCs w:val="28"/>
        </w:rPr>
        <w:t xml:space="preserve"> </w:t>
      </w:r>
      <w:r>
        <w:rPr>
          <w:sz w:val="28"/>
          <w:szCs w:val="28"/>
        </w:rPr>
        <w:t>发行人指定的负责本期债券相关事务专人的变动情况</w:t>
      </w:r>
      <w:bookmarkEnd w:id="15"/>
    </w:p>
    <w:p w:rsidR="00E617D7" w:rsidRDefault="002A30C3">
      <w:pPr>
        <w:autoSpaceDE w:val="0"/>
        <w:autoSpaceDN w:val="0"/>
        <w:adjustRightInd w:val="0"/>
        <w:spacing w:beforeLines="50" w:before="156" w:line="360" w:lineRule="auto"/>
        <w:ind w:firstLineChars="200" w:firstLine="480"/>
        <w:jc w:val="left"/>
        <w:rPr>
          <w:color w:val="000000"/>
          <w:kern w:val="0"/>
          <w:sz w:val="24"/>
        </w:rPr>
      </w:pPr>
      <w:r>
        <w:rPr>
          <w:color w:val="000000"/>
          <w:kern w:val="0"/>
          <w:sz w:val="24"/>
        </w:rPr>
        <w:t>发行人指定董事会秘书负责处理本期债券相关事务</w:t>
      </w:r>
      <w:r>
        <w:rPr>
          <w:color w:val="000000"/>
          <w:kern w:val="0"/>
          <w:sz w:val="24"/>
        </w:rPr>
        <w:t>。</w:t>
      </w:r>
    </w:p>
    <w:p w:rsidR="00E617D7" w:rsidRDefault="002A30C3">
      <w:pPr>
        <w:autoSpaceDE w:val="0"/>
        <w:autoSpaceDN w:val="0"/>
        <w:adjustRightInd w:val="0"/>
        <w:spacing w:beforeLines="50" w:before="156" w:line="360" w:lineRule="auto"/>
        <w:ind w:firstLineChars="200" w:firstLine="480"/>
        <w:jc w:val="left"/>
        <w:rPr>
          <w:color w:val="000000"/>
          <w:kern w:val="0"/>
          <w:sz w:val="24"/>
        </w:rPr>
      </w:pPr>
      <w:r>
        <w:rPr>
          <w:color w:val="000000"/>
          <w:kern w:val="0"/>
          <w:sz w:val="24"/>
        </w:rPr>
        <w:t>发行人董事会于</w:t>
      </w:r>
      <w:r>
        <w:rPr>
          <w:color w:val="000000"/>
          <w:kern w:val="0"/>
          <w:sz w:val="24"/>
        </w:rPr>
        <w:t>2018</w:t>
      </w:r>
      <w:r>
        <w:rPr>
          <w:color w:val="000000"/>
          <w:kern w:val="0"/>
          <w:sz w:val="24"/>
        </w:rPr>
        <w:t>年</w:t>
      </w:r>
      <w:r>
        <w:rPr>
          <w:color w:val="000000"/>
          <w:kern w:val="0"/>
          <w:sz w:val="24"/>
        </w:rPr>
        <w:t>8</w:t>
      </w:r>
      <w:r>
        <w:rPr>
          <w:color w:val="000000"/>
          <w:kern w:val="0"/>
          <w:sz w:val="24"/>
        </w:rPr>
        <w:t>月</w:t>
      </w:r>
      <w:r>
        <w:rPr>
          <w:color w:val="000000"/>
          <w:kern w:val="0"/>
          <w:sz w:val="24"/>
        </w:rPr>
        <w:t>21</w:t>
      </w:r>
      <w:r>
        <w:rPr>
          <w:color w:val="000000"/>
          <w:kern w:val="0"/>
          <w:sz w:val="24"/>
        </w:rPr>
        <w:t>日收到董事会秘书、副总经理张小可先生的书面辞职报告，张小可先生因工作调整原因申请辞去公司董事会秘书、副总经理职务，张小可先生辞去上述职务后不再担任公司任何职务。</w:t>
      </w:r>
    </w:p>
    <w:p w:rsidR="00E617D7" w:rsidRDefault="002A30C3">
      <w:pPr>
        <w:autoSpaceDE w:val="0"/>
        <w:autoSpaceDN w:val="0"/>
        <w:adjustRightInd w:val="0"/>
        <w:spacing w:beforeLines="50" w:before="156" w:line="360" w:lineRule="auto"/>
        <w:ind w:firstLineChars="200" w:firstLine="480"/>
        <w:jc w:val="left"/>
        <w:rPr>
          <w:color w:val="000000"/>
          <w:kern w:val="0"/>
          <w:sz w:val="24"/>
        </w:rPr>
      </w:pPr>
      <w:r>
        <w:rPr>
          <w:color w:val="000000"/>
          <w:kern w:val="0"/>
          <w:sz w:val="24"/>
        </w:rPr>
        <w:t>发行人于</w:t>
      </w:r>
      <w:r>
        <w:rPr>
          <w:color w:val="000000"/>
          <w:kern w:val="0"/>
          <w:sz w:val="24"/>
        </w:rPr>
        <w:t>2018</w:t>
      </w:r>
      <w:r>
        <w:rPr>
          <w:color w:val="000000"/>
          <w:kern w:val="0"/>
          <w:sz w:val="24"/>
        </w:rPr>
        <w:t>年</w:t>
      </w:r>
      <w:r>
        <w:rPr>
          <w:color w:val="000000"/>
          <w:kern w:val="0"/>
          <w:sz w:val="24"/>
        </w:rPr>
        <w:t>8</w:t>
      </w:r>
      <w:r>
        <w:rPr>
          <w:color w:val="000000"/>
          <w:kern w:val="0"/>
          <w:sz w:val="24"/>
        </w:rPr>
        <w:t>月</w:t>
      </w:r>
      <w:r>
        <w:rPr>
          <w:color w:val="000000"/>
          <w:kern w:val="0"/>
          <w:sz w:val="24"/>
        </w:rPr>
        <w:t>24</w:t>
      </w:r>
      <w:r>
        <w:rPr>
          <w:color w:val="000000"/>
          <w:kern w:val="0"/>
          <w:sz w:val="24"/>
        </w:rPr>
        <w:t>日以通讯表决方式召开了第七届董事会第二十四次临时会议，审议通过了《关于聘任公司董事会秘书的议案》，经公司董事长提名，公司董事会提名委员会审核，同意聘任张炜强先生为公司</w:t>
      </w:r>
      <w:r>
        <w:rPr>
          <w:color w:val="000000"/>
          <w:kern w:val="0"/>
          <w:sz w:val="24"/>
        </w:rPr>
        <w:t>董事会秘书，任期自本次董事会审议通过之日起至第七届董事会届满时止。</w:t>
      </w:r>
    </w:p>
    <w:p w:rsidR="00E617D7" w:rsidRDefault="002A30C3">
      <w:pPr>
        <w:autoSpaceDE w:val="0"/>
        <w:autoSpaceDN w:val="0"/>
        <w:adjustRightInd w:val="0"/>
        <w:spacing w:beforeLines="50" w:before="156" w:line="360" w:lineRule="auto"/>
        <w:ind w:firstLineChars="200" w:firstLine="480"/>
        <w:jc w:val="left"/>
        <w:rPr>
          <w:color w:val="000000"/>
          <w:kern w:val="0"/>
          <w:sz w:val="24"/>
        </w:rPr>
      </w:pPr>
      <w:r>
        <w:rPr>
          <w:color w:val="000000"/>
          <w:kern w:val="0"/>
          <w:sz w:val="24"/>
        </w:rPr>
        <w:t>公司决定由张炜强先生担任公司债券信息披露事务负责人。</w:t>
      </w:r>
    </w:p>
    <w:p w:rsidR="00E617D7" w:rsidRDefault="00E617D7">
      <w:pPr>
        <w:autoSpaceDE w:val="0"/>
        <w:autoSpaceDN w:val="0"/>
        <w:adjustRightInd w:val="0"/>
        <w:spacing w:beforeLines="50" w:before="156" w:line="360" w:lineRule="auto"/>
        <w:ind w:firstLineChars="200" w:firstLine="480"/>
        <w:jc w:val="left"/>
        <w:rPr>
          <w:color w:val="000000"/>
          <w:kern w:val="0"/>
          <w:sz w:val="24"/>
        </w:rPr>
      </w:pPr>
    </w:p>
    <w:p w:rsidR="00E617D7" w:rsidRDefault="00E617D7">
      <w:pPr>
        <w:autoSpaceDE w:val="0"/>
        <w:autoSpaceDN w:val="0"/>
        <w:adjustRightInd w:val="0"/>
        <w:spacing w:beforeLines="50" w:before="156" w:line="360" w:lineRule="auto"/>
        <w:ind w:firstLineChars="200" w:firstLine="480"/>
        <w:jc w:val="left"/>
        <w:rPr>
          <w:color w:val="000000"/>
          <w:kern w:val="0"/>
          <w:sz w:val="24"/>
        </w:rPr>
        <w:sectPr w:rsidR="00E617D7">
          <w:pgSz w:w="11906" w:h="16838"/>
          <w:pgMar w:top="1440" w:right="1800" w:bottom="1440" w:left="1800" w:header="851" w:footer="992" w:gutter="0"/>
          <w:cols w:space="425"/>
          <w:docGrid w:type="lines" w:linePitch="312"/>
        </w:sectPr>
      </w:pPr>
    </w:p>
    <w:p w:rsidR="00E617D7" w:rsidRDefault="002A30C3">
      <w:pPr>
        <w:pStyle w:val="1"/>
        <w:jc w:val="center"/>
        <w:rPr>
          <w:sz w:val="28"/>
          <w:szCs w:val="28"/>
        </w:rPr>
      </w:pPr>
      <w:bookmarkStart w:id="16" w:name="_Toc15616"/>
      <w:r>
        <w:rPr>
          <w:sz w:val="28"/>
          <w:szCs w:val="28"/>
        </w:rPr>
        <w:lastRenderedPageBreak/>
        <w:t>第十一章</w:t>
      </w:r>
      <w:r>
        <w:rPr>
          <w:sz w:val="28"/>
          <w:szCs w:val="28"/>
        </w:rPr>
        <w:t xml:space="preserve"> </w:t>
      </w:r>
      <w:r>
        <w:rPr>
          <w:sz w:val="28"/>
          <w:szCs w:val="28"/>
        </w:rPr>
        <w:t>其他事项</w:t>
      </w:r>
      <w:bookmarkEnd w:id="16"/>
    </w:p>
    <w:p w:rsidR="00E617D7" w:rsidRDefault="002A30C3">
      <w:pPr>
        <w:autoSpaceDE w:val="0"/>
        <w:autoSpaceDN w:val="0"/>
        <w:adjustRightInd w:val="0"/>
        <w:spacing w:beforeLines="50" w:before="156" w:afterLines="50" w:after="156" w:line="360" w:lineRule="auto"/>
        <w:jc w:val="left"/>
        <w:rPr>
          <w:b/>
          <w:color w:val="000000"/>
          <w:kern w:val="0"/>
          <w:sz w:val="24"/>
        </w:rPr>
      </w:pPr>
      <w:r>
        <w:rPr>
          <w:b/>
          <w:color w:val="000000"/>
          <w:kern w:val="0"/>
          <w:sz w:val="24"/>
        </w:rPr>
        <w:t>一、对外担保情况</w:t>
      </w:r>
    </w:p>
    <w:p w:rsidR="00E617D7" w:rsidRDefault="002A30C3">
      <w:pPr>
        <w:spacing w:beforeLines="50" w:before="156" w:afterLines="50" w:after="156" w:line="360" w:lineRule="auto"/>
        <w:jc w:val="right"/>
        <w:rPr>
          <w:sz w:val="24"/>
        </w:rPr>
      </w:pPr>
      <w:r>
        <w:rPr>
          <w:sz w:val="24"/>
        </w:rPr>
        <w:t>单位：元</w:t>
      </w:r>
    </w:p>
    <w:tbl>
      <w:tblPr>
        <w:tblW w:w="852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135"/>
        <w:gridCol w:w="3387"/>
      </w:tblGrid>
      <w:tr w:rsidR="00E617D7">
        <w:trPr>
          <w:trHeight w:val="454"/>
          <w:jc w:val="center"/>
        </w:trPr>
        <w:tc>
          <w:tcPr>
            <w:tcW w:w="8522" w:type="dxa"/>
            <w:gridSpan w:val="2"/>
            <w:shd w:val="clear" w:color="auto" w:fill="auto"/>
            <w:vAlign w:val="center"/>
          </w:tcPr>
          <w:p w:rsidR="00E617D7" w:rsidRDefault="002A30C3">
            <w:pPr>
              <w:widowControl/>
              <w:jc w:val="center"/>
              <w:rPr>
                <w:kern w:val="0"/>
                <w:szCs w:val="21"/>
              </w:rPr>
            </w:pPr>
            <w:r>
              <w:rPr>
                <w:b/>
                <w:bCs/>
                <w:kern w:val="0"/>
                <w:szCs w:val="21"/>
              </w:rPr>
              <w:t>公司对外担保情况（不包括对子公司的担保）</w:t>
            </w:r>
          </w:p>
        </w:tc>
      </w:tr>
      <w:tr w:rsidR="00E617D7">
        <w:trPr>
          <w:trHeight w:val="454"/>
          <w:jc w:val="center"/>
        </w:trPr>
        <w:tc>
          <w:tcPr>
            <w:tcW w:w="5135" w:type="dxa"/>
            <w:shd w:val="clear" w:color="auto" w:fill="auto"/>
            <w:vAlign w:val="center"/>
          </w:tcPr>
          <w:p w:rsidR="00E617D7" w:rsidRDefault="002A30C3">
            <w:pPr>
              <w:widowControl/>
              <w:rPr>
                <w:kern w:val="0"/>
                <w:szCs w:val="21"/>
              </w:rPr>
            </w:pPr>
            <w:r>
              <w:rPr>
                <w:kern w:val="0"/>
                <w:szCs w:val="21"/>
              </w:rPr>
              <w:t>报告期内担保发生额合计（不包括对子公司的担保）</w:t>
            </w:r>
          </w:p>
        </w:tc>
        <w:tc>
          <w:tcPr>
            <w:tcW w:w="3387" w:type="dxa"/>
            <w:shd w:val="clear" w:color="auto" w:fill="auto"/>
            <w:vAlign w:val="center"/>
          </w:tcPr>
          <w:p w:rsidR="00E617D7" w:rsidRDefault="002A30C3">
            <w:pPr>
              <w:widowControl/>
              <w:jc w:val="right"/>
              <w:rPr>
                <w:kern w:val="0"/>
                <w:szCs w:val="21"/>
              </w:rPr>
            </w:pPr>
            <w:r>
              <w:rPr>
                <w:kern w:val="0"/>
                <w:szCs w:val="21"/>
              </w:rPr>
              <w:t>0</w:t>
            </w:r>
          </w:p>
        </w:tc>
      </w:tr>
      <w:tr w:rsidR="00E617D7">
        <w:trPr>
          <w:trHeight w:val="454"/>
          <w:jc w:val="center"/>
        </w:trPr>
        <w:tc>
          <w:tcPr>
            <w:tcW w:w="5135" w:type="dxa"/>
            <w:shd w:val="clear" w:color="auto" w:fill="auto"/>
            <w:vAlign w:val="center"/>
          </w:tcPr>
          <w:p w:rsidR="00E617D7" w:rsidRDefault="002A30C3">
            <w:pPr>
              <w:widowControl/>
              <w:rPr>
                <w:kern w:val="0"/>
                <w:szCs w:val="21"/>
              </w:rPr>
            </w:pPr>
            <w:r>
              <w:rPr>
                <w:kern w:val="0"/>
                <w:szCs w:val="21"/>
              </w:rPr>
              <w:t>报告期末担保余额合计（</w:t>
            </w:r>
            <w:r>
              <w:rPr>
                <w:kern w:val="0"/>
                <w:szCs w:val="21"/>
              </w:rPr>
              <w:t>A</w:t>
            </w:r>
            <w:r>
              <w:rPr>
                <w:kern w:val="0"/>
                <w:szCs w:val="21"/>
              </w:rPr>
              <w:t>）（不包括对子公司的担保）</w:t>
            </w:r>
          </w:p>
        </w:tc>
        <w:tc>
          <w:tcPr>
            <w:tcW w:w="3387" w:type="dxa"/>
            <w:shd w:val="clear" w:color="auto" w:fill="auto"/>
            <w:vAlign w:val="center"/>
          </w:tcPr>
          <w:p w:rsidR="00E617D7" w:rsidRDefault="002A30C3">
            <w:pPr>
              <w:widowControl/>
              <w:jc w:val="right"/>
              <w:rPr>
                <w:kern w:val="0"/>
                <w:szCs w:val="21"/>
              </w:rPr>
            </w:pPr>
            <w:r>
              <w:rPr>
                <w:kern w:val="0"/>
                <w:szCs w:val="21"/>
              </w:rPr>
              <w:t>0</w:t>
            </w:r>
          </w:p>
        </w:tc>
      </w:tr>
      <w:tr w:rsidR="00E617D7">
        <w:trPr>
          <w:trHeight w:val="454"/>
          <w:jc w:val="center"/>
        </w:trPr>
        <w:tc>
          <w:tcPr>
            <w:tcW w:w="8522" w:type="dxa"/>
            <w:gridSpan w:val="2"/>
            <w:shd w:val="clear" w:color="auto" w:fill="auto"/>
            <w:vAlign w:val="center"/>
          </w:tcPr>
          <w:p w:rsidR="00E617D7" w:rsidRDefault="002A30C3">
            <w:pPr>
              <w:widowControl/>
              <w:jc w:val="center"/>
              <w:rPr>
                <w:kern w:val="0"/>
                <w:szCs w:val="21"/>
              </w:rPr>
            </w:pPr>
            <w:r>
              <w:rPr>
                <w:b/>
                <w:bCs/>
                <w:kern w:val="0"/>
                <w:szCs w:val="21"/>
              </w:rPr>
              <w:t>公司及其子公司对子公司的担保情况</w:t>
            </w:r>
          </w:p>
        </w:tc>
      </w:tr>
      <w:tr w:rsidR="00E617D7">
        <w:trPr>
          <w:trHeight w:val="454"/>
          <w:jc w:val="center"/>
        </w:trPr>
        <w:tc>
          <w:tcPr>
            <w:tcW w:w="5135" w:type="dxa"/>
            <w:shd w:val="clear" w:color="auto" w:fill="auto"/>
            <w:vAlign w:val="center"/>
          </w:tcPr>
          <w:p w:rsidR="00E617D7" w:rsidRDefault="002A30C3">
            <w:pPr>
              <w:widowControl/>
              <w:rPr>
                <w:kern w:val="0"/>
                <w:szCs w:val="21"/>
              </w:rPr>
            </w:pPr>
            <w:r>
              <w:rPr>
                <w:kern w:val="0"/>
                <w:szCs w:val="21"/>
              </w:rPr>
              <w:t>报告期内对子公司担保发生额合计</w:t>
            </w:r>
          </w:p>
        </w:tc>
        <w:tc>
          <w:tcPr>
            <w:tcW w:w="3387" w:type="dxa"/>
            <w:shd w:val="clear" w:color="auto" w:fill="auto"/>
            <w:vAlign w:val="center"/>
          </w:tcPr>
          <w:p w:rsidR="00E617D7" w:rsidRDefault="002A30C3">
            <w:pPr>
              <w:widowControl/>
              <w:jc w:val="right"/>
              <w:rPr>
                <w:kern w:val="0"/>
                <w:szCs w:val="21"/>
              </w:rPr>
            </w:pPr>
            <w:r>
              <w:rPr>
                <w:kern w:val="0"/>
                <w:szCs w:val="21"/>
              </w:rPr>
              <w:t>0</w:t>
            </w:r>
          </w:p>
        </w:tc>
      </w:tr>
      <w:tr w:rsidR="00E617D7">
        <w:trPr>
          <w:trHeight w:val="454"/>
          <w:jc w:val="center"/>
        </w:trPr>
        <w:tc>
          <w:tcPr>
            <w:tcW w:w="5135" w:type="dxa"/>
            <w:shd w:val="clear" w:color="auto" w:fill="auto"/>
            <w:vAlign w:val="center"/>
          </w:tcPr>
          <w:p w:rsidR="00E617D7" w:rsidRDefault="002A30C3">
            <w:pPr>
              <w:widowControl/>
              <w:rPr>
                <w:kern w:val="0"/>
                <w:szCs w:val="21"/>
              </w:rPr>
            </w:pPr>
            <w:r>
              <w:rPr>
                <w:kern w:val="0"/>
                <w:szCs w:val="21"/>
              </w:rPr>
              <w:t>报告</w:t>
            </w:r>
            <w:proofErr w:type="gramStart"/>
            <w:r>
              <w:rPr>
                <w:kern w:val="0"/>
                <w:szCs w:val="21"/>
              </w:rPr>
              <w:t>期末对</w:t>
            </w:r>
            <w:proofErr w:type="gramEnd"/>
            <w:r>
              <w:rPr>
                <w:kern w:val="0"/>
                <w:szCs w:val="21"/>
              </w:rPr>
              <w:t>子公司担保余额合计（</w:t>
            </w:r>
            <w:r>
              <w:rPr>
                <w:kern w:val="0"/>
                <w:szCs w:val="21"/>
              </w:rPr>
              <w:t>B</w:t>
            </w:r>
            <w:r>
              <w:rPr>
                <w:kern w:val="0"/>
                <w:szCs w:val="21"/>
              </w:rPr>
              <w:t>）</w:t>
            </w:r>
          </w:p>
        </w:tc>
        <w:tc>
          <w:tcPr>
            <w:tcW w:w="3387" w:type="dxa"/>
            <w:shd w:val="clear" w:color="auto" w:fill="auto"/>
            <w:vAlign w:val="center"/>
          </w:tcPr>
          <w:p w:rsidR="00E617D7" w:rsidRDefault="002A30C3">
            <w:pPr>
              <w:widowControl/>
              <w:jc w:val="right"/>
              <w:rPr>
                <w:kern w:val="0"/>
                <w:szCs w:val="21"/>
              </w:rPr>
            </w:pPr>
            <w:r>
              <w:rPr>
                <w:kern w:val="0"/>
                <w:szCs w:val="21"/>
              </w:rPr>
              <w:t>174,116,048.38</w:t>
            </w:r>
          </w:p>
        </w:tc>
      </w:tr>
      <w:tr w:rsidR="00E617D7">
        <w:trPr>
          <w:trHeight w:val="454"/>
          <w:jc w:val="center"/>
        </w:trPr>
        <w:tc>
          <w:tcPr>
            <w:tcW w:w="8522" w:type="dxa"/>
            <w:gridSpan w:val="2"/>
            <w:shd w:val="clear" w:color="auto" w:fill="auto"/>
            <w:vAlign w:val="center"/>
          </w:tcPr>
          <w:p w:rsidR="00E617D7" w:rsidRDefault="002A30C3">
            <w:pPr>
              <w:widowControl/>
              <w:jc w:val="center"/>
              <w:rPr>
                <w:kern w:val="0"/>
                <w:szCs w:val="21"/>
              </w:rPr>
            </w:pPr>
            <w:r>
              <w:rPr>
                <w:b/>
                <w:bCs/>
                <w:kern w:val="0"/>
                <w:szCs w:val="21"/>
              </w:rPr>
              <w:t>公司担保总额情况（包括对子公司的担保）</w:t>
            </w:r>
          </w:p>
        </w:tc>
      </w:tr>
      <w:tr w:rsidR="00E617D7">
        <w:trPr>
          <w:trHeight w:val="454"/>
          <w:jc w:val="center"/>
        </w:trPr>
        <w:tc>
          <w:tcPr>
            <w:tcW w:w="5135" w:type="dxa"/>
            <w:shd w:val="clear" w:color="auto" w:fill="auto"/>
            <w:vAlign w:val="center"/>
          </w:tcPr>
          <w:p w:rsidR="00E617D7" w:rsidRDefault="002A30C3">
            <w:pPr>
              <w:widowControl/>
              <w:rPr>
                <w:kern w:val="0"/>
                <w:szCs w:val="21"/>
              </w:rPr>
            </w:pPr>
            <w:r>
              <w:rPr>
                <w:kern w:val="0"/>
                <w:szCs w:val="21"/>
              </w:rPr>
              <w:t>担保总额（</w:t>
            </w:r>
            <w:r>
              <w:rPr>
                <w:kern w:val="0"/>
                <w:szCs w:val="21"/>
              </w:rPr>
              <w:t>A+B</w:t>
            </w:r>
            <w:r>
              <w:rPr>
                <w:kern w:val="0"/>
                <w:szCs w:val="21"/>
              </w:rPr>
              <w:t>）</w:t>
            </w:r>
          </w:p>
        </w:tc>
        <w:tc>
          <w:tcPr>
            <w:tcW w:w="3387" w:type="dxa"/>
            <w:shd w:val="clear" w:color="auto" w:fill="auto"/>
            <w:vAlign w:val="center"/>
          </w:tcPr>
          <w:p w:rsidR="00E617D7" w:rsidRDefault="002A30C3">
            <w:pPr>
              <w:widowControl/>
              <w:jc w:val="right"/>
              <w:rPr>
                <w:kern w:val="0"/>
                <w:szCs w:val="21"/>
              </w:rPr>
            </w:pPr>
            <w:r>
              <w:rPr>
                <w:kern w:val="0"/>
                <w:szCs w:val="21"/>
              </w:rPr>
              <w:t>174,116,048.38</w:t>
            </w:r>
          </w:p>
        </w:tc>
      </w:tr>
      <w:tr w:rsidR="00E617D7">
        <w:trPr>
          <w:trHeight w:val="454"/>
          <w:jc w:val="center"/>
        </w:trPr>
        <w:tc>
          <w:tcPr>
            <w:tcW w:w="5135" w:type="dxa"/>
            <w:shd w:val="clear" w:color="auto" w:fill="auto"/>
            <w:vAlign w:val="center"/>
          </w:tcPr>
          <w:p w:rsidR="00E617D7" w:rsidRDefault="002A30C3">
            <w:pPr>
              <w:widowControl/>
              <w:rPr>
                <w:kern w:val="0"/>
                <w:szCs w:val="21"/>
              </w:rPr>
            </w:pPr>
            <w:r>
              <w:rPr>
                <w:kern w:val="0"/>
                <w:szCs w:val="21"/>
              </w:rPr>
              <w:t>担保总额占公司净资产的比例</w:t>
            </w:r>
            <w:r>
              <w:rPr>
                <w:kern w:val="0"/>
                <w:szCs w:val="21"/>
              </w:rPr>
              <w:t>(%)</w:t>
            </w:r>
          </w:p>
        </w:tc>
        <w:tc>
          <w:tcPr>
            <w:tcW w:w="3387" w:type="dxa"/>
            <w:shd w:val="clear" w:color="auto" w:fill="auto"/>
            <w:vAlign w:val="center"/>
          </w:tcPr>
          <w:p w:rsidR="00E617D7" w:rsidRDefault="002A30C3">
            <w:pPr>
              <w:widowControl/>
              <w:jc w:val="right"/>
              <w:rPr>
                <w:kern w:val="0"/>
                <w:szCs w:val="21"/>
              </w:rPr>
            </w:pPr>
            <w:r>
              <w:rPr>
                <w:kern w:val="0"/>
                <w:szCs w:val="21"/>
              </w:rPr>
              <w:t>5.48</w:t>
            </w:r>
          </w:p>
        </w:tc>
      </w:tr>
      <w:tr w:rsidR="00E617D7">
        <w:trPr>
          <w:trHeight w:val="454"/>
          <w:jc w:val="center"/>
        </w:trPr>
        <w:tc>
          <w:tcPr>
            <w:tcW w:w="8522" w:type="dxa"/>
            <w:gridSpan w:val="2"/>
            <w:shd w:val="clear" w:color="auto" w:fill="auto"/>
            <w:vAlign w:val="center"/>
          </w:tcPr>
          <w:p w:rsidR="00E617D7" w:rsidRDefault="002A30C3">
            <w:pPr>
              <w:widowControl/>
              <w:rPr>
                <w:kern w:val="0"/>
                <w:szCs w:val="21"/>
              </w:rPr>
            </w:pPr>
            <w:r>
              <w:rPr>
                <w:kern w:val="0"/>
                <w:szCs w:val="21"/>
              </w:rPr>
              <w:t>其中：</w:t>
            </w:r>
          </w:p>
        </w:tc>
      </w:tr>
      <w:tr w:rsidR="00E617D7">
        <w:trPr>
          <w:trHeight w:val="454"/>
          <w:jc w:val="center"/>
        </w:trPr>
        <w:tc>
          <w:tcPr>
            <w:tcW w:w="5135" w:type="dxa"/>
            <w:shd w:val="clear" w:color="auto" w:fill="auto"/>
            <w:vAlign w:val="center"/>
          </w:tcPr>
          <w:p w:rsidR="00E617D7" w:rsidRDefault="002A30C3">
            <w:pPr>
              <w:widowControl/>
              <w:rPr>
                <w:kern w:val="0"/>
                <w:szCs w:val="21"/>
              </w:rPr>
            </w:pPr>
            <w:r>
              <w:rPr>
                <w:kern w:val="0"/>
                <w:szCs w:val="21"/>
              </w:rPr>
              <w:t>为股东、实际控制人及其关联方提供担保的金额（</w:t>
            </w:r>
            <w:r>
              <w:rPr>
                <w:kern w:val="0"/>
                <w:szCs w:val="21"/>
              </w:rPr>
              <w:t>C</w:t>
            </w:r>
            <w:r>
              <w:rPr>
                <w:kern w:val="0"/>
                <w:szCs w:val="21"/>
              </w:rPr>
              <w:t>）</w:t>
            </w:r>
          </w:p>
        </w:tc>
        <w:tc>
          <w:tcPr>
            <w:tcW w:w="3387" w:type="dxa"/>
            <w:shd w:val="clear" w:color="auto" w:fill="auto"/>
            <w:vAlign w:val="center"/>
          </w:tcPr>
          <w:p w:rsidR="00E617D7" w:rsidRDefault="002A30C3">
            <w:pPr>
              <w:widowControl/>
              <w:jc w:val="right"/>
              <w:rPr>
                <w:kern w:val="0"/>
                <w:szCs w:val="21"/>
              </w:rPr>
            </w:pPr>
            <w:r>
              <w:rPr>
                <w:kern w:val="0"/>
                <w:szCs w:val="21"/>
              </w:rPr>
              <w:t>0</w:t>
            </w:r>
          </w:p>
        </w:tc>
      </w:tr>
      <w:tr w:rsidR="00E617D7">
        <w:trPr>
          <w:trHeight w:val="454"/>
          <w:jc w:val="center"/>
        </w:trPr>
        <w:tc>
          <w:tcPr>
            <w:tcW w:w="5135" w:type="dxa"/>
            <w:shd w:val="clear" w:color="auto" w:fill="auto"/>
            <w:vAlign w:val="center"/>
          </w:tcPr>
          <w:p w:rsidR="00E617D7" w:rsidRDefault="002A30C3">
            <w:pPr>
              <w:widowControl/>
              <w:rPr>
                <w:kern w:val="0"/>
                <w:szCs w:val="21"/>
              </w:rPr>
            </w:pPr>
            <w:r>
              <w:rPr>
                <w:kern w:val="0"/>
                <w:szCs w:val="21"/>
              </w:rPr>
              <w:t>直接或间接为资产负债率超过</w:t>
            </w:r>
            <w:r>
              <w:rPr>
                <w:kern w:val="0"/>
                <w:szCs w:val="21"/>
              </w:rPr>
              <w:t>70%</w:t>
            </w:r>
            <w:r>
              <w:rPr>
                <w:kern w:val="0"/>
                <w:szCs w:val="21"/>
              </w:rPr>
              <w:t>的被担保对象提供的债务担保金额（</w:t>
            </w:r>
            <w:r>
              <w:rPr>
                <w:kern w:val="0"/>
                <w:szCs w:val="21"/>
              </w:rPr>
              <w:t>D</w:t>
            </w:r>
            <w:r>
              <w:rPr>
                <w:kern w:val="0"/>
                <w:szCs w:val="21"/>
              </w:rPr>
              <w:t>）</w:t>
            </w:r>
          </w:p>
        </w:tc>
        <w:tc>
          <w:tcPr>
            <w:tcW w:w="3387" w:type="dxa"/>
            <w:shd w:val="clear" w:color="auto" w:fill="auto"/>
            <w:vAlign w:val="center"/>
          </w:tcPr>
          <w:p w:rsidR="00E617D7" w:rsidRDefault="002A30C3">
            <w:pPr>
              <w:widowControl/>
              <w:jc w:val="right"/>
              <w:rPr>
                <w:kern w:val="0"/>
                <w:szCs w:val="21"/>
              </w:rPr>
            </w:pPr>
            <w:r>
              <w:rPr>
                <w:kern w:val="0"/>
                <w:szCs w:val="21"/>
              </w:rPr>
              <w:t>0</w:t>
            </w:r>
          </w:p>
        </w:tc>
      </w:tr>
      <w:tr w:rsidR="00E617D7">
        <w:trPr>
          <w:trHeight w:val="454"/>
          <w:jc w:val="center"/>
        </w:trPr>
        <w:tc>
          <w:tcPr>
            <w:tcW w:w="5135" w:type="dxa"/>
            <w:shd w:val="clear" w:color="auto" w:fill="auto"/>
            <w:vAlign w:val="center"/>
          </w:tcPr>
          <w:p w:rsidR="00E617D7" w:rsidRDefault="002A30C3">
            <w:pPr>
              <w:widowControl/>
              <w:rPr>
                <w:kern w:val="0"/>
                <w:szCs w:val="21"/>
              </w:rPr>
            </w:pPr>
            <w:r>
              <w:rPr>
                <w:kern w:val="0"/>
                <w:szCs w:val="21"/>
              </w:rPr>
              <w:t>担保总额超过净资产</w:t>
            </w:r>
            <w:r>
              <w:rPr>
                <w:kern w:val="0"/>
                <w:szCs w:val="21"/>
              </w:rPr>
              <w:t>50%</w:t>
            </w:r>
            <w:r>
              <w:rPr>
                <w:kern w:val="0"/>
                <w:szCs w:val="21"/>
              </w:rPr>
              <w:t>部分的金额（</w:t>
            </w:r>
            <w:r>
              <w:rPr>
                <w:kern w:val="0"/>
                <w:szCs w:val="21"/>
              </w:rPr>
              <w:t>E</w:t>
            </w:r>
            <w:r>
              <w:rPr>
                <w:kern w:val="0"/>
                <w:szCs w:val="21"/>
              </w:rPr>
              <w:t>）</w:t>
            </w:r>
          </w:p>
        </w:tc>
        <w:tc>
          <w:tcPr>
            <w:tcW w:w="3387" w:type="dxa"/>
            <w:shd w:val="clear" w:color="auto" w:fill="auto"/>
            <w:vAlign w:val="center"/>
          </w:tcPr>
          <w:p w:rsidR="00E617D7" w:rsidRDefault="002A30C3">
            <w:pPr>
              <w:widowControl/>
              <w:jc w:val="right"/>
              <w:rPr>
                <w:kern w:val="0"/>
                <w:szCs w:val="21"/>
              </w:rPr>
            </w:pPr>
            <w:r>
              <w:rPr>
                <w:kern w:val="0"/>
                <w:szCs w:val="21"/>
              </w:rPr>
              <w:t>0</w:t>
            </w:r>
          </w:p>
        </w:tc>
      </w:tr>
      <w:tr w:rsidR="00E617D7">
        <w:trPr>
          <w:trHeight w:val="454"/>
          <w:jc w:val="center"/>
        </w:trPr>
        <w:tc>
          <w:tcPr>
            <w:tcW w:w="5135" w:type="dxa"/>
            <w:shd w:val="clear" w:color="auto" w:fill="auto"/>
            <w:vAlign w:val="center"/>
          </w:tcPr>
          <w:p w:rsidR="00E617D7" w:rsidRDefault="002A30C3">
            <w:pPr>
              <w:widowControl/>
              <w:rPr>
                <w:kern w:val="0"/>
                <w:szCs w:val="21"/>
              </w:rPr>
            </w:pPr>
            <w:r>
              <w:rPr>
                <w:kern w:val="0"/>
                <w:szCs w:val="21"/>
              </w:rPr>
              <w:t>上述三项担保金额合计（</w:t>
            </w:r>
            <w:r>
              <w:rPr>
                <w:kern w:val="0"/>
                <w:szCs w:val="21"/>
              </w:rPr>
              <w:t>C+D+E</w:t>
            </w:r>
            <w:r>
              <w:rPr>
                <w:kern w:val="0"/>
                <w:szCs w:val="21"/>
              </w:rPr>
              <w:t>）</w:t>
            </w:r>
          </w:p>
        </w:tc>
        <w:tc>
          <w:tcPr>
            <w:tcW w:w="3387" w:type="dxa"/>
            <w:shd w:val="clear" w:color="auto" w:fill="auto"/>
            <w:vAlign w:val="center"/>
          </w:tcPr>
          <w:p w:rsidR="00E617D7" w:rsidRDefault="002A30C3">
            <w:pPr>
              <w:widowControl/>
              <w:jc w:val="right"/>
              <w:rPr>
                <w:kern w:val="0"/>
                <w:szCs w:val="21"/>
              </w:rPr>
            </w:pPr>
            <w:r>
              <w:rPr>
                <w:kern w:val="0"/>
                <w:szCs w:val="21"/>
              </w:rPr>
              <w:t>0</w:t>
            </w:r>
          </w:p>
        </w:tc>
      </w:tr>
      <w:tr w:rsidR="00E617D7">
        <w:trPr>
          <w:trHeight w:val="454"/>
          <w:jc w:val="center"/>
        </w:trPr>
        <w:tc>
          <w:tcPr>
            <w:tcW w:w="5135" w:type="dxa"/>
            <w:shd w:val="clear" w:color="auto" w:fill="auto"/>
            <w:vAlign w:val="center"/>
          </w:tcPr>
          <w:p w:rsidR="00E617D7" w:rsidRDefault="002A30C3">
            <w:pPr>
              <w:widowControl/>
              <w:rPr>
                <w:kern w:val="0"/>
                <w:szCs w:val="21"/>
              </w:rPr>
            </w:pPr>
            <w:r>
              <w:rPr>
                <w:kern w:val="0"/>
                <w:szCs w:val="21"/>
              </w:rPr>
              <w:t>未到期担保可能承担连带清偿责任说明</w:t>
            </w:r>
          </w:p>
        </w:tc>
        <w:tc>
          <w:tcPr>
            <w:tcW w:w="3387" w:type="dxa"/>
            <w:shd w:val="clear" w:color="auto" w:fill="auto"/>
            <w:vAlign w:val="center"/>
          </w:tcPr>
          <w:p w:rsidR="00E617D7" w:rsidRDefault="002A30C3">
            <w:pPr>
              <w:widowControl/>
              <w:jc w:val="right"/>
              <w:rPr>
                <w:kern w:val="0"/>
                <w:szCs w:val="21"/>
              </w:rPr>
            </w:pPr>
            <w:r>
              <w:rPr>
                <w:kern w:val="0"/>
                <w:szCs w:val="21"/>
              </w:rPr>
              <w:t>无</w:t>
            </w:r>
          </w:p>
        </w:tc>
      </w:tr>
      <w:tr w:rsidR="00E617D7">
        <w:trPr>
          <w:trHeight w:val="454"/>
          <w:jc w:val="center"/>
        </w:trPr>
        <w:tc>
          <w:tcPr>
            <w:tcW w:w="5135" w:type="dxa"/>
            <w:shd w:val="clear" w:color="auto" w:fill="auto"/>
            <w:vAlign w:val="center"/>
          </w:tcPr>
          <w:p w:rsidR="00E617D7" w:rsidRDefault="002A30C3">
            <w:pPr>
              <w:widowControl/>
              <w:rPr>
                <w:kern w:val="0"/>
                <w:szCs w:val="21"/>
              </w:rPr>
            </w:pPr>
            <w:r>
              <w:rPr>
                <w:kern w:val="0"/>
                <w:szCs w:val="21"/>
              </w:rPr>
              <w:t>担保情况说明</w:t>
            </w:r>
          </w:p>
        </w:tc>
        <w:tc>
          <w:tcPr>
            <w:tcW w:w="3387" w:type="dxa"/>
            <w:shd w:val="clear" w:color="auto" w:fill="auto"/>
            <w:vAlign w:val="center"/>
          </w:tcPr>
          <w:p w:rsidR="00E617D7" w:rsidRDefault="002A30C3">
            <w:pPr>
              <w:widowControl/>
              <w:rPr>
                <w:kern w:val="0"/>
                <w:szCs w:val="21"/>
              </w:rPr>
            </w:pPr>
            <w:r>
              <w:rPr>
                <w:kern w:val="0"/>
                <w:szCs w:val="21"/>
              </w:rPr>
              <w:t>2016</w:t>
            </w:r>
            <w:r>
              <w:rPr>
                <w:kern w:val="0"/>
                <w:szCs w:val="21"/>
              </w:rPr>
              <w:t>年</w:t>
            </w:r>
            <w:r>
              <w:rPr>
                <w:kern w:val="0"/>
                <w:szCs w:val="21"/>
              </w:rPr>
              <w:t>12</w:t>
            </w:r>
            <w:r>
              <w:rPr>
                <w:kern w:val="0"/>
                <w:szCs w:val="21"/>
              </w:rPr>
              <w:t>月、</w:t>
            </w:r>
            <w:r>
              <w:rPr>
                <w:kern w:val="0"/>
                <w:szCs w:val="21"/>
              </w:rPr>
              <w:t>2017</w:t>
            </w:r>
            <w:r>
              <w:rPr>
                <w:kern w:val="0"/>
                <w:szCs w:val="21"/>
              </w:rPr>
              <w:t>年</w:t>
            </w:r>
            <w:r>
              <w:rPr>
                <w:kern w:val="0"/>
                <w:szCs w:val="21"/>
              </w:rPr>
              <w:t>10</w:t>
            </w:r>
            <w:r>
              <w:rPr>
                <w:kern w:val="0"/>
                <w:szCs w:val="21"/>
              </w:rPr>
              <w:t>月，发行人全资子公司师宗公司与中航国际租赁有限公司开展融资租赁业务，将部分自有固定资产出售给中航国际租赁有限公司，中航国际租赁有限公司再将该固定资产出租给师宗公司使用，租赁期限均为</w:t>
            </w:r>
            <w:r>
              <w:rPr>
                <w:kern w:val="0"/>
                <w:szCs w:val="21"/>
              </w:rPr>
              <w:t>42</w:t>
            </w:r>
            <w:r>
              <w:rPr>
                <w:kern w:val="0"/>
                <w:szCs w:val="21"/>
              </w:rPr>
              <w:t>个月，师宗公司按约向中航国际租赁有限公司支付租金，融资金额共计</w:t>
            </w:r>
            <w:r>
              <w:rPr>
                <w:kern w:val="0"/>
                <w:szCs w:val="21"/>
              </w:rPr>
              <w:t>33,000</w:t>
            </w:r>
            <w:r>
              <w:rPr>
                <w:kern w:val="0"/>
                <w:szCs w:val="21"/>
              </w:rPr>
              <w:t>万元，发行人为该项融资租赁业务提供连带责任担保。</w:t>
            </w:r>
          </w:p>
        </w:tc>
      </w:tr>
    </w:tbl>
    <w:p w:rsidR="00E617D7" w:rsidRDefault="002A30C3">
      <w:pPr>
        <w:autoSpaceDE w:val="0"/>
        <w:autoSpaceDN w:val="0"/>
        <w:adjustRightInd w:val="0"/>
        <w:spacing w:beforeLines="50" w:before="156" w:afterLines="50" w:after="156" w:line="360" w:lineRule="auto"/>
        <w:jc w:val="left"/>
        <w:rPr>
          <w:b/>
          <w:color w:val="000000"/>
          <w:kern w:val="0"/>
          <w:sz w:val="24"/>
        </w:rPr>
      </w:pPr>
      <w:r>
        <w:rPr>
          <w:b/>
          <w:color w:val="000000"/>
          <w:kern w:val="0"/>
          <w:sz w:val="24"/>
        </w:rPr>
        <w:t>二、涉及的未决诉讼或仲裁事项</w:t>
      </w:r>
    </w:p>
    <w:p w:rsidR="00E617D7" w:rsidRDefault="002A30C3">
      <w:pPr>
        <w:autoSpaceDE w:val="0"/>
        <w:autoSpaceDN w:val="0"/>
        <w:adjustRightInd w:val="0"/>
        <w:spacing w:beforeLines="50" w:before="156" w:afterLines="50" w:after="156" w:line="360" w:lineRule="auto"/>
        <w:ind w:firstLineChars="200" w:firstLine="480"/>
        <w:jc w:val="left"/>
        <w:rPr>
          <w:color w:val="000000"/>
          <w:kern w:val="0"/>
          <w:sz w:val="24"/>
        </w:rPr>
      </w:pPr>
      <w:r>
        <w:rPr>
          <w:color w:val="000000"/>
          <w:kern w:val="0"/>
          <w:sz w:val="24"/>
        </w:rPr>
        <w:lastRenderedPageBreak/>
        <w:t>截至</w:t>
      </w:r>
      <w:r>
        <w:rPr>
          <w:color w:val="000000"/>
          <w:kern w:val="0"/>
          <w:sz w:val="24"/>
        </w:rPr>
        <w:t>201</w:t>
      </w:r>
      <w:r>
        <w:rPr>
          <w:color w:val="000000"/>
          <w:kern w:val="0"/>
          <w:sz w:val="24"/>
        </w:rPr>
        <w:t>8</w:t>
      </w:r>
      <w:r>
        <w:rPr>
          <w:color w:val="000000"/>
          <w:kern w:val="0"/>
          <w:sz w:val="24"/>
        </w:rPr>
        <w:t>年</w:t>
      </w:r>
      <w:r>
        <w:rPr>
          <w:color w:val="000000"/>
          <w:kern w:val="0"/>
          <w:sz w:val="24"/>
        </w:rPr>
        <w:t>12</w:t>
      </w:r>
      <w:r>
        <w:rPr>
          <w:color w:val="000000"/>
          <w:kern w:val="0"/>
          <w:sz w:val="24"/>
        </w:rPr>
        <w:t>月</w:t>
      </w:r>
      <w:r>
        <w:rPr>
          <w:color w:val="000000"/>
          <w:kern w:val="0"/>
          <w:sz w:val="24"/>
        </w:rPr>
        <w:t>31</w:t>
      </w:r>
      <w:r>
        <w:rPr>
          <w:color w:val="000000"/>
          <w:kern w:val="0"/>
          <w:sz w:val="24"/>
        </w:rPr>
        <w:t>日，发行人不存在对公司财务状况、经营成果、声誉、业务活动、未来前景等可能产生实质影响的重大未决诉讼或仲裁事项。</w:t>
      </w:r>
    </w:p>
    <w:p w:rsidR="00E617D7" w:rsidRDefault="002A30C3">
      <w:pPr>
        <w:autoSpaceDE w:val="0"/>
        <w:autoSpaceDN w:val="0"/>
        <w:adjustRightInd w:val="0"/>
        <w:spacing w:beforeLines="50" w:before="156" w:afterLines="50" w:after="156" w:line="360" w:lineRule="auto"/>
        <w:jc w:val="left"/>
        <w:rPr>
          <w:b/>
          <w:color w:val="000000"/>
          <w:kern w:val="0"/>
          <w:sz w:val="24"/>
        </w:rPr>
      </w:pPr>
      <w:r>
        <w:rPr>
          <w:b/>
          <w:color w:val="000000"/>
          <w:kern w:val="0"/>
          <w:sz w:val="24"/>
        </w:rPr>
        <w:t>三、相关当事人</w:t>
      </w:r>
    </w:p>
    <w:p w:rsidR="00E617D7" w:rsidRDefault="002A30C3">
      <w:pPr>
        <w:autoSpaceDE w:val="0"/>
        <w:autoSpaceDN w:val="0"/>
        <w:adjustRightInd w:val="0"/>
        <w:spacing w:beforeLines="50" w:before="156" w:afterLines="50" w:after="156" w:line="360" w:lineRule="auto"/>
        <w:ind w:firstLineChars="200" w:firstLine="480"/>
        <w:jc w:val="left"/>
        <w:rPr>
          <w:color w:val="000000"/>
          <w:kern w:val="0"/>
          <w:sz w:val="24"/>
        </w:rPr>
      </w:pPr>
      <w:r>
        <w:rPr>
          <w:color w:val="000000"/>
          <w:kern w:val="0"/>
          <w:sz w:val="24"/>
        </w:rPr>
        <w:t>201</w:t>
      </w:r>
      <w:r>
        <w:rPr>
          <w:color w:val="000000"/>
          <w:kern w:val="0"/>
          <w:sz w:val="24"/>
        </w:rPr>
        <w:t>8</w:t>
      </w:r>
      <w:r>
        <w:rPr>
          <w:color w:val="000000"/>
          <w:kern w:val="0"/>
          <w:sz w:val="24"/>
        </w:rPr>
        <w:t>年度，本期债券的受托管理人、担保人和资信评级机构均未发生变动。</w:t>
      </w:r>
    </w:p>
    <w:p w:rsidR="00E617D7" w:rsidRPr="001F46E2" w:rsidRDefault="002A30C3" w:rsidP="001F46E2">
      <w:pPr>
        <w:widowControl/>
        <w:jc w:val="left"/>
        <w:rPr>
          <w:color w:val="000000"/>
          <w:kern w:val="0"/>
          <w:sz w:val="24"/>
        </w:rPr>
      </w:pPr>
      <w:r>
        <w:rPr>
          <w:color w:val="000000"/>
          <w:kern w:val="0"/>
          <w:sz w:val="24"/>
        </w:rPr>
        <w:br w:type="page"/>
      </w:r>
    </w:p>
    <w:p w:rsidR="00E617D7" w:rsidRDefault="001F46E2" w:rsidP="001F46E2">
      <w:pPr>
        <w:spacing w:beforeLines="50" w:before="156" w:afterLines="50" w:after="156" w:line="360" w:lineRule="auto"/>
        <w:rPr>
          <w:kern w:val="0"/>
          <w:sz w:val="24"/>
        </w:rPr>
      </w:pPr>
      <w:bookmarkStart w:id="17" w:name="_GoBack"/>
      <w:r>
        <w:rPr>
          <w:noProof/>
          <w:kern w:val="0"/>
          <w:sz w:val="24"/>
        </w:rPr>
        <w:lastRenderedPageBreak/>
        <w:drawing>
          <wp:anchor distT="0" distB="0" distL="114300" distR="114300" simplePos="0" relativeHeight="251660288" behindDoc="0" locked="0" layoutInCell="1" allowOverlap="1">
            <wp:simplePos x="0" y="0"/>
            <wp:positionH relativeFrom="column">
              <wp:posOffset>-647700</wp:posOffset>
            </wp:positionH>
            <wp:positionV relativeFrom="paragraph">
              <wp:posOffset>-818042</wp:posOffset>
            </wp:positionV>
            <wp:extent cx="7200900" cy="10047767"/>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云煤能源2018年度受托管理事务报告-签章页_1.png"/>
                    <pic:cNvPicPr/>
                  </pic:nvPicPr>
                  <pic:blipFill>
                    <a:blip r:embed="rId13">
                      <a:extLst>
                        <a:ext uri="{28A0092B-C50C-407E-A947-70E740481C1C}">
                          <a14:useLocalDpi xmlns:a14="http://schemas.microsoft.com/office/drawing/2010/main" val="0"/>
                        </a:ext>
                      </a:extLst>
                    </a:blip>
                    <a:stretch>
                      <a:fillRect/>
                    </a:stretch>
                  </pic:blipFill>
                  <pic:spPr>
                    <a:xfrm>
                      <a:off x="0" y="0"/>
                      <a:ext cx="7200900" cy="10047767"/>
                    </a:xfrm>
                    <a:prstGeom prst="rect">
                      <a:avLst/>
                    </a:prstGeom>
                  </pic:spPr>
                </pic:pic>
              </a:graphicData>
            </a:graphic>
            <wp14:sizeRelH relativeFrom="page">
              <wp14:pctWidth>0</wp14:pctWidth>
            </wp14:sizeRelH>
            <wp14:sizeRelV relativeFrom="page">
              <wp14:pctHeight>0</wp14:pctHeight>
            </wp14:sizeRelV>
          </wp:anchor>
        </w:drawing>
      </w:r>
      <w:bookmarkEnd w:id="17"/>
    </w:p>
    <w:sectPr w:rsidR="00E617D7">
      <w:head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0C3" w:rsidRDefault="002A30C3">
      <w:r>
        <w:separator/>
      </w:r>
    </w:p>
  </w:endnote>
  <w:endnote w:type="continuationSeparator" w:id="0">
    <w:p w:rsidR="002A30C3" w:rsidRDefault="002A3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7D7" w:rsidRDefault="002A30C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617D7" w:rsidRDefault="00E617D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7D7" w:rsidRDefault="002A30C3">
    <w:pPr>
      <w:pStyle w:val="a4"/>
      <w:framePr w:wrap="around" w:vAnchor="text" w:hAnchor="margin" w:xAlign="center" w:y="1"/>
      <w:ind w:firstLineChars="50" w:firstLine="90"/>
      <w:rPr>
        <w:rStyle w:val="a6"/>
      </w:rPr>
    </w:pPr>
    <w:r>
      <w:rPr>
        <w:rStyle w:val="a6"/>
        <w:rFonts w:hint="eastAsia"/>
      </w:rPr>
      <w:t xml:space="preserve"> </w:t>
    </w:r>
  </w:p>
  <w:p w:rsidR="00E617D7" w:rsidRDefault="00E617D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7D7" w:rsidRDefault="002A30C3">
    <w:pPr>
      <w:pStyle w:val="a4"/>
      <w:rPr>
        <w:sz w:val="21"/>
        <w:szCs w:val="21"/>
      </w:rPr>
    </w:pPr>
    <w:r>
      <w:tab/>
    </w:r>
    <w:r>
      <w:rPr>
        <w:sz w:val="21"/>
        <w:szCs w:val="21"/>
      </w:rPr>
      <w:fldChar w:fldCharType="begin"/>
    </w:r>
    <w:r>
      <w:rPr>
        <w:sz w:val="21"/>
        <w:szCs w:val="21"/>
      </w:rPr>
      <w:instrText xml:space="preserve"> PAGE </w:instrText>
    </w:r>
    <w:r>
      <w:rPr>
        <w:sz w:val="21"/>
        <w:szCs w:val="21"/>
      </w:rPr>
      <w:fldChar w:fldCharType="separate"/>
    </w:r>
    <w:r w:rsidR="001F46E2">
      <w:rPr>
        <w:noProof/>
        <w:sz w:val="21"/>
        <w:szCs w:val="21"/>
      </w:rPr>
      <w:t>21</w:t>
    </w:r>
    <w:r>
      <w:rPr>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0C3" w:rsidRDefault="002A30C3">
      <w:r>
        <w:separator/>
      </w:r>
    </w:p>
  </w:footnote>
  <w:footnote w:type="continuationSeparator" w:id="0">
    <w:p w:rsidR="002A30C3" w:rsidRDefault="002A3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7D7" w:rsidRDefault="00E617D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CB5"/>
    <w:rsid w:val="00005B3C"/>
    <w:rsid w:val="00013D1A"/>
    <w:rsid w:val="0002671A"/>
    <w:rsid w:val="0005027A"/>
    <w:rsid w:val="00051B69"/>
    <w:rsid w:val="00063100"/>
    <w:rsid w:val="00065B03"/>
    <w:rsid w:val="000666C3"/>
    <w:rsid w:val="000805BA"/>
    <w:rsid w:val="0008431E"/>
    <w:rsid w:val="00093871"/>
    <w:rsid w:val="000C769A"/>
    <w:rsid w:val="000D301F"/>
    <w:rsid w:val="000F328B"/>
    <w:rsid w:val="00107C1C"/>
    <w:rsid w:val="00116110"/>
    <w:rsid w:val="0012245C"/>
    <w:rsid w:val="00135D7A"/>
    <w:rsid w:val="00154329"/>
    <w:rsid w:val="001640ED"/>
    <w:rsid w:val="00172160"/>
    <w:rsid w:val="001A22D5"/>
    <w:rsid w:val="001C4379"/>
    <w:rsid w:val="001C60B4"/>
    <w:rsid w:val="001C7812"/>
    <w:rsid w:val="001D50BC"/>
    <w:rsid w:val="001D6BD1"/>
    <w:rsid w:val="001E486E"/>
    <w:rsid w:val="001F46E2"/>
    <w:rsid w:val="0020275F"/>
    <w:rsid w:val="00224178"/>
    <w:rsid w:val="00234FCE"/>
    <w:rsid w:val="00242843"/>
    <w:rsid w:val="00260DCB"/>
    <w:rsid w:val="002774D5"/>
    <w:rsid w:val="002858D1"/>
    <w:rsid w:val="00286048"/>
    <w:rsid w:val="00296C83"/>
    <w:rsid w:val="002A30C3"/>
    <w:rsid w:val="002A3A31"/>
    <w:rsid w:val="002A5DFE"/>
    <w:rsid w:val="002A6EEB"/>
    <w:rsid w:val="002B15C8"/>
    <w:rsid w:val="002B29DE"/>
    <w:rsid w:val="002C6590"/>
    <w:rsid w:val="002E3444"/>
    <w:rsid w:val="00310AFB"/>
    <w:rsid w:val="0036272C"/>
    <w:rsid w:val="003652E2"/>
    <w:rsid w:val="00366B95"/>
    <w:rsid w:val="00367286"/>
    <w:rsid w:val="0037094F"/>
    <w:rsid w:val="003B051B"/>
    <w:rsid w:val="003C52ED"/>
    <w:rsid w:val="003D3B68"/>
    <w:rsid w:val="003D5476"/>
    <w:rsid w:val="003D62F7"/>
    <w:rsid w:val="003E05EE"/>
    <w:rsid w:val="003E7BCC"/>
    <w:rsid w:val="003E7F20"/>
    <w:rsid w:val="003F4A01"/>
    <w:rsid w:val="003F583C"/>
    <w:rsid w:val="0042733F"/>
    <w:rsid w:val="00430ABB"/>
    <w:rsid w:val="00437741"/>
    <w:rsid w:val="00442D68"/>
    <w:rsid w:val="00442E51"/>
    <w:rsid w:val="0044635F"/>
    <w:rsid w:val="00460E30"/>
    <w:rsid w:val="00463F87"/>
    <w:rsid w:val="00476DB9"/>
    <w:rsid w:val="00481225"/>
    <w:rsid w:val="004B2404"/>
    <w:rsid w:val="004B3384"/>
    <w:rsid w:val="004C7A04"/>
    <w:rsid w:val="004E325A"/>
    <w:rsid w:val="004E54AF"/>
    <w:rsid w:val="004F1B37"/>
    <w:rsid w:val="004F1C0C"/>
    <w:rsid w:val="004F5C9B"/>
    <w:rsid w:val="004F5D22"/>
    <w:rsid w:val="00526EAF"/>
    <w:rsid w:val="00527A24"/>
    <w:rsid w:val="0055154D"/>
    <w:rsid w:val="005531C6"/>
    <w:rsid w:val="00562CF4"/>
    <w:rsid w:val="005777DC"/>
    <w:rsid w:val="00596AE7"/>
    <w:rsid w:val="005B3BE9"/>
    <w:rsid w:val="005E0EF9"/>
    <w:rsid w:val="005E37A4"/>
    <w:rsid w:val="005F094D"/>
    <w:rsid w:val="00614A4A"/>
    <w:rsid w:val="0063610E"/>
    <w:rsid w:val="00650D30"/>
    <w:rsid w:val="006527CE"/>
    <w:rsid w:val="00653556"/>
    <w:rsid w:val="006557A8"/>
    <w:rsid w:val="006705E7"/>
    <w:rsid w:val="006A2D25"/>
    <w:rsid w:val="006A49F9"/>
    <w:rsid w:val="006A794D"/>
    <w:rsid w:val="006B4C34"/>
    <w:rsid w:val="006B522B"/>
    <w:rsid w:val="006C32B8"/>
    <w:rsid w:val="006D510C"/>
    <w:rsid w:val="006E4C60"/>
    <w:rsid w:val="006F08B4"/>
    <w:rsid w:val="006F3DFC"/>
    <w:rsid w:val="00706F20"/>
    <w:rsid w:val="0071008B"/>
    <w:rsid w:val="00722AC1"/>
    <w:rsid w:val="00737D63"/>
    <w:rsid w:val="00750EA5"/>
    <w:rsid w:val="0075205F"/>
    <w:rsid w:val="0075279B"/>
    <w:rsid w:val="00762B14"/>
    <w:rsid w:val="0076544C"/>
    <w:rsid w:val="00765CE7"/>
    <w:rsid w:val="00773CF7"/>
    <w:rsid w:val="00777DCB"/>
    <w:rsid w:val="00794234"/>
    <w:rsid w:val="007B591E"/>
    <w:rsid w:val="007D71AC"/>
    <w:rsid w:val="007F1782"/>
    <w:rsid w:val="007F4895"/>
    <w:rsid w:val="007F6A7D"/>
    <w:rsid w:val="00807389"/>
    <w:rsid w:val="00833465"/>
    <w:rsid w:val="008453A1"/>
    <w:rsid w:val="00854505"/>
    <w:rsid w:val="008643D5"/>
    <w:rsid w:val="008665C8"/>
    <w:rsid w:val="00877D32"/>
    <w:rsid w:val="008A380F"/>
    <w:rsid w:val="008A3980"/>
    <w:rsid w:val="008A4C43"/>
    <w:rsid w:val="008B3432"/>
    <w:rsid w:val="008C3254"/>
    <w:rsid w:val="008D0E75"/>
    <w:rsid w:val="008D3416"/>
    <w:rsid w:val="008D5B19"/>
    <w:rsid w:val="008E1C83"/>
    <w:rsid w:val="00923CB5"/>
    <w:rsid w:val="00943D51"/>
    <w:rsid w:val="00951CA5"/>
    <w:rsid w:val="0096368B"/>
    <w:rsid w:val="00964DEE"/>
    <w:rsid w:val="009663D7"/>
    <w:rsid w:val="009866C7"/>
    <w:rsid w:val="00995B1C"/>
    <w:rsid w:val="0099756A"/>
    <w:rsid w:val="009A1E95"/>
    <w:rsid w:val="009A5945"/>
    <w:rsid w:val="009A7A09"/>
    <w:rsid w:val="009B3366"/>
    <w:rsid w:val="009B6D34"/>
    <w:rsid w:val="009B7568"/>
    <w:rsid w:val="009C2354"/>
    <w:rsid w:val="009C3A00"/>
    <w:rsid w:val="009D3DF6"/>
    <w:rsid w:val="009E6EC5"/>
    <w:rsid w:val="009E7A95"/>
    <w:rsid w:val="00A07F89"/>
    <w:rsid w:val="00A23DAF"/>
    <w:rsid w:val="00A24BC6"/>
    <w:rsid w:val="00A42646"/>
    <w:rsid w:val="00A7140A"/>
    <w:rsid w:val="00A96B3B"/>
    <w:rsid w:val="00AA17EF"/>
    <w:rsid w:val="00AA427E"/>
    <w:rsid w:val="00AF370C"/>
    <w:rsid w:val="00AF6CC8"/>
    <w:rsid w:val="00B15A49"/>
    <w:rsid w:val="00B35742"/>
    <w:rsid w:val="00B52F0E"/>
    <w:rsid w:val="00B55422"/>
    <w:rsid w:val="00B73E4C"/>
    <w:rsid w:val="00B74803"/>
    <w:rsid w:val="00B76C9C"/>
    <w:rsid w:val="00B815AF"/>
    <w:rsid w:val="00B81FEE"/>
    <w:rsid w:val="00B84C89"/>
    <w:rsid w:val="00B85F70"/>
    <w:rsid w:val="00BD3D55"/>
    <w:rsid w:val="00BD792F"/>
    <w:rsid w:val="00C03B42"/>
    <w:rsid w:val="00C056C5"/>
    <w:rsid w:val="00C166C0"/>
    <w:rsid w:val="00C2279A"/>
    <w:rsid w:val="00C44977"/>
    <w:rsid w:val="00C611A5"/>
    <w:rsid w:val="00C74B40"/>
    <w:rsid w:val="00C76A0A"/>
    <w:rsid w:val="00CC2DA7"/>
    <w:rsid w:val="00CC66FD"/>
    <w:rsid w:val="00CD4639"/>
    <w:rsid w:val="00CE1DD0"/>
    <w:rsid w:val="00CE2E9E"/>
    <w:rsid w:val="00CF6E5E"/>
    <w:rsid w:val="00D01209"/>
    <w:rsid w:val="00D025D8"/>
    <w:rsid w:val="00D102B7"/>
    <w:rsid w:val="00D16A15"/>
    <w:rsid w:val="00D25736"/>
    <w:rsid w:val="00D40B7B"/>
    <w:rsid w:val="00D6587E"/>
    <w:rsid w:val="00D67A97"/>
    <w:rsid w:val="00D706CF"/>
    <w:rsid w:val="00D76C33"/>
    <w:rsid w:val="00D92A5B"/>
    <w:rsid w:val="00D97718"/>
    <w:rsid w:val="00D97F4D"/>
    <w:rsid w:val="00DA357A"/>
    <w:rsid w:val="00DB069E"/>
    <w:rsid w:val="00DB6A2F"/>
    <w:rsid w:val="00DD1E6D"/>
    <w:rsid w:val="00DF6AFF"/>
    <w:rsid w:val="00E0615E"/>
    <w:rsid w:val="00E243FF"/>
    <w:rsid w:val="00E354EA"/>
    <w:rsid w:val="00E40FE1"/>
    <w:rsid w:val="00E45706"/>
    <w:rsid w:val="00E5207E"/>
    <w:rsid w:val="00E524F5"/>
    <w:rsid w:val="00E60744"/>
    <w:rsid w:val="00E617D7"/>
    <w:rsid w:val="00E67DC9"/>
    <w:rsid w:val="00E765EB"/>
    <w:rsid w:val="00E82ADC"/>
    <w:rsid w:val="00E96915"/>
    <w:rsid w:val="00E97478"/>
    <w:rsid w:val="00E97B8F"/>
    <w:rsid w:val="00EA2652"/>
    <w:rsid w:val="00EB6EE0"/>
    <w:rsid w:val="00EC1578"/>
    <w:rsid w:val="00EE6445"/>
    <w:rsid w:val="00EE691A"/>
    <w:rsid w:val="00EF00DA"/>
    <w:rsid w:val="00F075A3"/>
    <w:rsid w:val="00F47942"/>
    <w:rsid w:val="00F47EE0"/>
    <w:rsid w:val="00F602BE"/>
    <w:rsid w:val="00F63DCB"/>
    <w:rsid w:val="00F73A2D"/>
    <w:rsid w:val="00F76F4C"/>
    <w:rsid w:val="00F97F51"/>
    <w:rsid w:val="00FB6DAB"/>
    <w:rsid w:val="00FD48C9"/>
    <w:rsid w:val="00FE0B62"/>
    <w:rsid w:val="00FE5AF2"/>
    <w:rsid w:val="00FF6B7F"/>
    <w:rsid w:val="026F2598"/>
    <w:rsid w:val="07946149"/>
    <w:rsid w:val="16664424"/>
    <w:rsid w:val="1C7E2C2F"/>
    <w:rsid w:val="218475EB"/>
    <w:rsid w:val="25716257"/>
    <w:rsid w:val="284B38CE"/>
    <w:rsid w:val="2A105D24"/>
    <w:rsid w:val="2CC50A5E"/>
    <w:rsid w:val="49713238"/>
    <w:rsid w:val="504C5A1E"/>
    <w:rsid w:val="51031340"/>
    <w:rsid w:val="53C6771A"/>
    <w:rsid w:val="5E763567"/>
    <w:rsid w:val="6144484D"/>
    <w:rsid w:val="6B880B4D"/>
    <w:rsid w:val="6C6E2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8296"/>
      </w:tabs>
      <w:spacing w:line="360" w:lineRule="auto"/>
    </w:pPr>
    <w:rPr>
      <w:b/>
      <w:bCs/>
      <w:kern w:val="44"/>
    </w:rPr>
  </w:style>
  <w:style w:type="character" w:styleId="a6">
    <w:name w:val="page number"/>
    <w:basedOn w:val="a0"/>
    <w:qFormat/>
  </w:style>
  <w:style w:type="character" w:styleId="a7">
    <w:name w:val="Hyperlink"/>
    <w:uiPriority w:val="99"/>
    <w:qFormat/>
    <w:rPr>
      <w:color w:val="0000FF"/>
      <w:u w:val="single"/>
    </w:rPr>
  </w:style>
  <w:style w:type="character" w:customStyle="1" w:styleId="1Char">
    <w:name w:val="标题 1 Char"/>
    <w:basedOn w:val="a0"/>
    <w:link w:val="1"/>
    <w:rPr>
      <w:rFonts w:ascii="Times New Roman" w:eastAsia="宋体" w:hAnsi="Times New Roman" w:cs="Times New Roman"/>
      <w:b/>
      <w:bCs/>
      <w:kern w:val="44"/>
      <w:sz w:val="44"/>
      <w:szCs w:val="44"/>
    </w:rPr>
  </w:style>
  <w:style w:type="paragraph" w:customStyle="1" w:styleId="Default">
    <w:name w:val="Default"/>
    <w:pPr>
      <w:widowControl w:val="0"/>
      <w:autoSpaceDE w:val="0"/>
      <w:autoSpaceDN w:val="0"/>
      <w:adjustRightInd w:val="0"/>
    </w:pPr>
    <w:rPr>
      <w:rFonts w:ascii="黑体" w:eastAsia="黑体" w:cs="黑体"/>
      <w:color w:val="000000"/>
      <w:sz w:val="24"/>
      <w:szCs w:val="24"/>
    </w:rPr>
  </w:style>
  <w:style w:type="character" w:customStyle="1" w:styleId="Char1">
    <w:name w:val="页眉 Char"/>
    <w:basedOn w:val="a0"/>
    <w:link w:val="a5"/>
    <w:qFormat/>
    <w:rPr>
      <w:rFonts w:ascii="Times New Roman" w:eastAsia="宋体" w:hAnsi="Times New Roman" w:cs="Times New Roman"/>
      <w:sz w:val="18"/>
      <w:szCs w:val="18"/>
    </w:rPr>
  </w:style>
  <w:style w:type="character" w:customStyle="1" w:styleId="Char0">
    <w:name w:val="页脚 Char"/>
    <w:basedOn w:val="a0"/>
    <w:link w:val="a4"/>
    <w:qFormat/>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paragraph" w:customStyle="1" w:styleId="a8">
    <w:name w:val="段"/>
    <w:basedOn w:val="a"/>
    <w:qFormat/>
    <w:pPr>
      <w:tabs>
        <w:tab w:val="left" w:pos="180"/>
        <w:tab w:val="left" w:pos="6960"/>
        <w:tab w:val="left" w:pos="8100"/>
      </w:tabs>
      <w:adjustRightInd w:val="0"/>
      <w:snapToGrid w:val="0"/>
      <w:spacing w:line="520" w:lineRule="atLeast"/>
      <w:ind w:firstLine="480"/>
    </w:pPr>
    <w:rPr>
      <w:rFonts w:ascii="Arial" w:hAnsi="Arial"/>
      <w:sz w:val="24"/>
      <w:szCs w:val="20"/>
    </w:rPr>
  </w:style>
  <w:style w:type="character" w:customStyle="1" w:styleId="apple-style-span">
    <w:name w:val="apple-style-span"/>
    <w:qFormat/>
  </w:style>
  <w:style w:type="paragraph" w:styleId="a9">
    <w:name w:val="List Paragraph"/>
    <w:basedOn w:val="a"/>
    <w:uiPriority w:val="34"/>
    <w:qFormat/>
    <w:pPr>
      <w:ind w:firstLineChars="200" w:firstLine="420"/>
    </w:pPr>
  </w:style>
  <w:style w:type="character" w:customStyle="1" w:styleId="fontstyle01">
    <w:name w:val="fontstyle01"/>
    <w:basedOn w:val="a0"/>
    <w:qFormat/>
    <w:rPr>
      <w:rFonts w:ascii="宋体" w:eastAsia="宋体" w:hAnsi="宋体" w:hint="eastAsia"/>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8296"/>
      </w:tabs>
      <w:spacing w:line="360" w:lineRule="auto"/>
    </w:pPr>
    <w:rPr>
      <w:b/>
      <w:bCs/>
      <w:kern w:val="44"/>
    </w:rPr>
  </w:style>
  <w:style w:type="character" w:styleId="a6">
    <w:name w:val="page number"/>
    <w:basedOn w:val="a0"/>
    <w:qFormat/>
  </w:style>
  <w:style w:type="character" w:styleId="a7">
    <w:name w:val="Hyperlink"/>
    <w:uiPriority w:val="99"/>
    <w:qFormat/>
    <w:rPr>
      <w:color w:val="0000FF"/>
      <w:u w:val="single"/>
    </w:rPr>
  </w:style>
  <w:style w:type="character" w:customStyle="1" w:styleId="1Char">
    <w:name w:val="标题 1 Char"/>
    <w:basedOn w:val="a0"/>
    <w:link w:val="1"/>
    <w:rPr>
      <w:rFonts w:ascii="Times New Roman" w:eastAsia="宋体" w:hAnsi="Times New Roman" w:cs="Times New Roman"/>
      <w:b/>
      <w:bCs/>
      <w:kern w:val="44"/>
      <w:sz w:val="44"/>
      <w:szCs w:val="44"/>
    </w:rPr>
  </w:style>
  <w:style w:type="paragraph" w:customStyle="1" w:styleId="Default">
    <w:name w:val="Default"/>
    <w:pPr>
      <w:widowControl w:val="0"/>
      <w:autoSpaceDE w:val="0"/>
      <w:autoSpaceDN w:val="0"/>
      <w:adjustRightInd w:val="0"/>
    </w:pPr>
    <w:rPr>
      <w:rFonts w:ascii="黑体" w:eastAsia="黑体" w:cs="黑体"/>
      <w:color w:val="000000"/>
      <w:sz w:val="24"/>
      <w:szCs w:val="24"/>
    </w:rPr>
  </w:style>
  <w:style w:type="character" w:customStyle="1" w:styleId="Char1">
    <w:name w:val="页眉 Char"/>
    <w:basedOn w:val="a0"/>
    <w:link w:val="a5"/>
    <w:qFormat/>
    <w:rPr>
      <w:rFonts w:ascii="Times New Roman" w:eastAsia="宋体" w:hAnsi="Times New Roman" w:cs="Times New Roman"/>
      <w:sz w:val="18"/>
      <w:szCs w:val="18"/>
    </w:rPr>
  </w:style>
  <w:style w:type="character" w:customStyle="1" w:styleId="Char0">
    <w:name w:val="页脚 Char"/>
    <w:basedOn w:val="a0"/>
    <w:link w:val="a4"/>
    <w:qFormat/>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paragraph" w:customStyle="1" w:styleId="a8">
    <w:name w:val="段"/>
    <w:basedOn w:val="a"/>
    <w:qFormat/>
    <w:pPr>
      <w:tabs>
        <w:tab w:val="left" w:pos="180"/>
        <w:tab w:val="left" w:pos="6960"/>
        <w:tab w:val="left" w:pos="8100"/>
      </w:tabs>
      <w:adjustRightInd w:val="0"/>
      <w:snapToGrid w:val="0"/>
      <w:spacing w:line="520" w:lineRule="atLeast"/>
      <w:ind w:firstLine="480"/>
    </w:pPr>
    <w:rPr>
      <w:rFonts w:ascii="Arial" w:hAnsi="Arial"/>
      <w:sz w:val="24"/>
      <w:szCs w:val="20"/>
    </w:rPr>
  </w:style>
  <w:style w:type="character" w:customStyle="1" w:styleId="apple-style-span">
    <w:name w:val="apple-style-span"/>
    <w:qFormat/>
  </w:style>
  <w:style w:type="paragraph" w:styleId="a9">
    <w:name w:val="List Paragraph"/>
    <w:basedOn w:val="a"/>
    <w:uiPriority w:val="34"/>
    <w:qFormat/>
    <w:pPr>
      <w:ind w:firstLineChars="200" w:firstLine="420"/>
    </w:pPr>
  </w:style>
  <w:style w:type="character" w:customStyle="1" w:styleId="fontstyle01">
    <w:name w:val="fontstyle01"/>
    <w:basedOn w:val="a0"/>
    <w:qFormat/>
    <w:rPr>
      <w:rFonts w:ascii="宋体" w:eastAsia="宋体" w:hAnsi="宋体" w:hint="eastAs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1385</Words>
  <Characters>7895</Characters>
  <Application>Microsoft Office Word</Application>
  <DocSecurity>0</DocSecurity>
  <Lines>65</Lines>
  <Paragraphs>18</Paragraphs>
  <ScaleCrop>false</ScaleCrop>
  <Company>shenduxitong</Company>
  <LinksUpToDate>false</LinksUpToDate>
  <CharactersWithSpaces>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shendu</cp:lastModifiedBy>
  <cp:revision>156</cp:revision>
  <cp:lastPrinted>2015-05-20T06:21:00Z</cp:lastPrinted>
  <dcterms:created xsi:type="dcterms:W3CDTF">2014-03-13T14:30:00Z</dcterms:created>
  <dcterms:modified xsi:type="dcterms:W3CDTF">2019-05-21T06:44:00Z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